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79336" w14:textId="77777777" w:rsidR="00B82E87" w:rsidRPr="00B82E87" w:rsidRDefault="00B82E87" w:rsidP="00B82E87">
      <w:pPr>
        <w:autoSpaceDE w:val="0"/>
        <w:autoSpaceDN w:val="0"/>
        <w:rPr>
          <w:rFonts w:ascii="Times New Roman" w:hAnsi="Times New Roman"/>
          <w:b/>
          <w:bCs/>
        </w:rPr>
      </w:pPr>
      <w:r w:rsidRPr="00B82E87">
        <w:rPr>
          <w:rFonts w:ascii="Times New Roman" w:hAnsi="Times New Roman"/>
          <w:b/>
          <w:bCs/>
        </w:rPr>
        <w:t xml:space="preserve">Det 53. IEAGHG </w:t>
      </w:r>
      <w:proofErr w:type="spellStart"/>
      <w:r w:rsidRPr="00B82E87">
        <w:rPr>
          <w:rFonts w:ascii="Times New Roman" w:hAnsi="Times New Roman"/>
          <w:b/>
          <w:bCs/>
        </w:rPr>
        <w:t>ExCo</w:t>
      </w:r>
      <w:proofErr w:type="spellEnd"/>
      <w:r w:rsidRPr="00B82E87">
        <w:rPr>
          <w:rFonts w:ascii="Times New Roman" w:hAnsi="Times New Roman"/>
          <w:b/>
          <w:bCs/>
        </w:rPr>
        <w:t xml:space="preserve"> møte ble avholdt i Norge, nærmere bestemt Langesund 7-9. mai 2018. </w:t>
      </w:r>
    </w:p>
    <w:p w14:paraId="283767D1" w14:textId="77777777" w:rsidR="00B82E87" w:rsidRPr="00B82E87" w:rsidRDefault="00B82E87" w:rsidP="00B82E87">
      <w:pPr>
        <w:autoSpaceDE w:val="0"/>
        <w:autoSpaceDN w:val="0"/>
        <w:rPr>
          <w:rFonts w:ascii="Times New Roman" w:hAnsi="Times New Roman"/>
          <w:bCs/>
        </w:rPr>
      </w:pPr>
    </w:p>
    <w:p w14:paraId="709697A9" w14:textId="77777777" w:rsidR="00B82E87" w:rsidRDefault="00B82E87" w:rsidP="00B82E87">
      <w:pPr>
        <w:autoSpaceDE w:val="0"/>
        <w:autoSpaceDN w:val="0"/>
        <w:rPr>
          <w:rFonts w:ascii="Times New Roman" w:hAnsi="Times New Roman"/>
          <w:bCs/>
        </w:rPr>
      </w:pPr>
      <w:r w:rsidRPr="00B82E87">
        <w:rPr>
          <w:rFonts w:ascii="Times New Roman" w:hAnsi="Times New Roman"/>
          <w:bCs/>
        </w:rPr>
        <w:t xml:space="preserve">Fra norsk side var det mye fokus på det norske storskala-prosjektet og regjeringens arbeid med revidert nasjonalbudsjett og Stortingets endelig vedtak i juni. Under IEAGHG-møtet var det også lagt inn besøk til Norcem og Yara hvor det ble informert om status for prosjektet fra deres side. </w:t>
      </w:r>
      <w:proofErr w:type="spellStart"/>
      <w:r w:rsidRPr="00B82E87">
        <w:rPr>
          <w:rFonts w:ascii="Times New Roman" w:hAnsi="Times New Roman"/>
          <w:bCs/>
        </w:rPr>
        <w:t>Equinor</w:t>
      </w:r>
      <w:proofErr w:type="spellEnd"/>
      <w:r w:rsidRPr="00B82E87">
        <w:rPr>
          <w:rFonts w:ascii="Times New Roman" w:hAnsi="Times New Roman"/>
          <w:bCs/>
        </w:rPr>
        <w:t xml:space="preserve"> (tidligere Statoil) presenterte også status for transport og lagringsdelen som de har ansvar for. En oversikt over forskning og utvikling av CO2-håndtering gjennom CLIMIT, TCM, NCCS og ACT ble også gitt.</w:t>
      </w:r>
    </w:p>
    <w:p w14:paraId="5C452D52" w14:textId="77777777" w:rsidR="00B82E87" w:rsidRPr="00B82E87" w:rsidRDefault="00B82E87" w:rsidP="00B82E87">
      <w:pPr>
        <w:autoSpaceDE w:val="0"/>
        <w:autoSpaceDN w:val="0"/>
        <w:rPr>
          <w:rFonts w:ascii="Times New Roman" w:hAnsi="Times New Roman"/>
          <w:bCs/>
        </w:rPr>
      </w:pPr>
    </w:p>
    <w:p w14:paraId="64E8979A" w14:textId="77777777" w:rsidR="00B82E87" w:rsidRPr="00B82E87" w:rsidRDefault="00B82E87" w:rsidP="00B82E87">
      <w:pPr>
        <w:autoSpaceDE w:val="0"/>
        <w:autoSpaceDN w:val="0"/>
        <w:rPr>
          <w:rFonts w:ascii="Times New Roman" w:hAnsi="Times New Roman"/>
          <w:bCs/>
        </w:rPr>
      </w:pPr>
      <w:r w:rsidRPr="00B82E87">
        <w:rPr>
          <w:rFonts w:ascii="Times New Roman" w:hAnsi="Times New Roman"/>
          <w:bCs/>
        </w:rPr>
        <w:t>Videre ble tekniske rapporter som er under utarbeidelse diskutert, nye studier ble valgt og det ble gitt mye nyttig informasjon om arbeidet som gjøres innen CO2-håndtering. En viktig diskusjon på møtet var om kommunikasjon rundt CO2-håndtering og hvordan nå et videre publikum enn kun de som allerede er involvert. Gassnova og deres arbeid for å informere ble fremhevet.</w:t>
      </w:r>
    </w:p>
    <w:p w14:paraId="4A0CCF9A" w14:textId="77777777" w:rsidR="00497ED5" w:rsidRDefault="00497ED5" w:rsidP="00497ED5">
      <w:pPr>
        <w:autoSpaceDE w:val="0"/>
        <w:autoSpaceDN w:val="0"/>
        <w:rPr>
          <w:rFonts w:ascii="Times New Roman" w:hAnsi="Times New Roman"/>
          <w:bCs/>
        </w:rPr>
      </w:pPr>
    </w:p>
    <w:p w14:paraId="68852CEC" w14:textId="77777777" w:rsidR="00B82E87" w:rsidRDefault="00B82E87" w:rsidP="00836E60">
      <w:pPr>
        <w:autoSpaceDE w:val="0"/>
        <w:autoSpaceDN w:val="0"/>
        <w:rPr>
          <w:rStyle w:val="Sterk"/>
          <w:rFonts w:ascii="Verdana" w:hAnsi="Verdana"/>
          <w:color w:val="373426"/>
          <w:sz w:val="18"/>
          <w:szCs w:val="18"/>
        </w:rPr>
      </w:pPr>
      <w:r>
        <w:rPr>
          <w:rStyle w:val="Sterk"/>
          <w:rFonts w:ascii="Verdana" w:hAnsi="Verdana"/>
          <w:color w:val="373426"/>
          <w:sz w:val="18"/>
          <w:szCs w:val="18"/>
        </w:rPr>
        <w:t>Nye undersøkelser av markedsmuligheter og nødvendige insentiver i flere land</w:t>
      </w:r>
    </w:p>
    <w:p w14:paraId="58193BBD" w14:textId="77777777" w:rsidR="005C5EAF" w:rsidRDefault="00497ED5" w:rsidP="00836E60">
      <w:pPr>
        <w:autoSpaceDE w:val="0"/>
        <w:autoSpaceDN w:val="0"/>
        <w:rPr>
          <w:rFonts w:ascii="Times New Roman" w:hAnsi="Times New Roman"/>
          <w:bCs/>
        </w:rPr>
      </w:pPr>
      <w:r>
        <w:rPr>
          <w:rFonts w:ascii="Times New Roman" w:hAnsi="Times New Roman"/>
          <w:bCs/>
        </w:rPr>
        <w:t xml:space="preserve">Det ble gitt en oppsummering av de viktigste aktivitetene til IEA relatert til </w:t>
      </w:r>
      <w:r w:rsidRPr="008046A2">
        <w:rPr>
          <w:rFonts w:ascii="Times New Roman" w:hAnsi="Times New Roman"/>
          <w:bCs/>
        </w:rPr>
        <w:t>CO</w:t>
      </w:r>
      <w:r w:rsidRPr="008046A2">
        <w:rPr>
          <w:rFonts w:ascii="Times New Roman" w:hAnsi="Times New Roman"/>
          <w:bCs/>
          <w:vertAlign w:val="subscript"/>
        </w:rPr>
        <w:t>2</w:t>
      </w:r>
      <w:r w:rsidR="00631FF7">
        <w:rPr>
          <w:rFonts w:ascii="Times New Roman" w:hAnsi="Times New Roman"/>
          <w:bCs/>
        </w:rPr>
        <w:t>-</w:t>
      </w:r>
      <w:r>
        <w:rPr>
          <w:rFonts w:ascii="Times New Roman" w:hAnsi="Times New Roman"/>
          <w:bCs/>
        </w:rPr>
        <w:t xml:space="preserve">håndtering. </w:t>
      </w:r>
      <w:r w:rsidR="005C5EAF">
        <w:rPr>
          <w:rFonts w:ascii="Times New Roman" w:hAnsi="Times New Roman"/>
          <w:bCs/>
        </w:rPr>
        <w:t xml:space="preserve">IEA arrangerte CCUS </w:t>
      </w:r>
      <w:proofErr w:type="spellStart"/>
      <w:r w:rsidR="005C5EAF">
        <w:rPr>
          <w:rFonts w:ascii="Times New Roman" w:hAnsi="Times New Roman"/>
          <w:bCs/>
        </w:rPr>
        <w:t>Summit</w:t>
      </w:r>
      <w:proofErr w:type="spellEnd"/>
      <w:r w:rsidR="005C5EAF">
        <w:rPr>
          <w:rFonts w:ascii="Times New Roman" w:hAnsi="Times New Roman"/>
          <w:bCs/>
        </w:rPr>
        <w:t xml:space="preserve"> i november 2017. Dette var et viktig møte på ministernivå der State </w:t>
      </w:r>
      <w:proofErr w:type="spellStart"/>
      <w:r w:rsidR="005C5EAF">
        <w:rPr>
          <w:rFonts w:ascii="Times New Roman" w:hAnsi="Times New Roman"/>
          <w:bCs/>
        </w:rPr>
        <w:t>secretary</w:t>
      </w:r>
      <w:proofErr w:type="spellEnd"/>
      <w:r w:rsidR="005C5EAF">
        <w:rPr>
          <w:rFonts w:ascii="Times New Roman" w:hAnsi="Times New Roman"/>
          <w:bCs/>
        </w:rPr>
        <w:t xml:space="preserve"> Rick Perry fra DOE framhevet viktigheten av CO</w:t>
      </w:r>
      <w:r w:rsidR="005C5EAF" w:rsidRPr="00F77E88">
        <w:rPr>
          <w:rFonts w:ascii="Times New Roman" w:hAnsi="Times New Roman"/>
          <w:bCs/>
          <w:vertAlign w:val="subscript"/>
        </w:rPr>
        <w:t>2</w:t>
      </w:r>
      <w:r w:rsidR="00631FF7">
        <w:rPr>
          <w:rFonts w:ascii="Times New Roman" w:hAnsi="Times New Roman"/>
          <w:bCs/>
        </w:rPr>
        <w:t>-</w:t>
      </w:r>
      <w:r w:rsidR="005C5EAF">
        <w:rPr>
          <w:rFonts w:ascii="Times New Roman" w:hAnsi="Times New Roman"/>
          <w:bCs/>
        </w:rPr>
        <w:t xml:space="preserve">håndtering. Det ble henvist til at </w:t>
      </w:r>
      <w:r w:rsidR="00A30D7D">
        <w:rPr>
          <w:rFonts w:ascii="Times New Roman" w:hAnsi="Times New Roman"/>
          <w:bCs/>
        </w:rPr>
        <w:t>kun 0.1% av investeringer i lavkarbon</w:t>
      </w:r>
      <w:r w:rsidR="005C5EAF">
        <w:rPr>
          <w:rFonts w:ascii="Times New Roman" w:hAnsi="Times New Roman"/>
          <w:bCs/>
        </w:rPr>
        <w:t>teknologi</w:t>
      </w:r>
      <w:r w:rsidR="00A30D7D">
        <w:rPr>
          <w:rFonts w:ascii="Times New Roman" w:hAnsi="Times New Roman"/>
          <w:bCs/>
        </w:rPr>
        <w:t>er</w:t>
      </w:r>
      <w:r w:rsidR="005C5EAF">
        <w:rPr>
          <w:rFonts w:ascii="Times New Roman" w:hAnsi="Times New Roman"/>
          <w:bCs/>
        </w:rPr>
        <w:t xml:space="preserve"> går til CO</w:t>
      </w:r>
      <w:r w:rsidR="005C5EAF" w:rsidRPr="00F77E88">
        <w:rPr>
          <w:rFonts w:ascii="Times New Roman" w:hAnsi="Times New Roman"/>
          <w:bCs/>
          <w:vertAlign w:val="subscript"/>
        </w:rPr>
        <w:t>2</w:t>
      </w:r>
      <w:r w:rsidR="00631FF7">
        <w:rPr>
          <w:rFonts w:ascii="Times New Roman" w:hAnsi="Times New Roman"/>
          <w:bCs/>
        </w:rPr>
        <w:t>-</w:t>
      </w:r>
      <w:r w:rsidR="005C5EAF">
        <w:rPr>
          <w:rFonts w:ascii="Times New Roman" w:hAnsi="Times New Roman"/>
          <w:bCs/>
        </w:rPr>
        <w:t xml:space="preserve">håndtering. </w:t>
      </w:r>
      <w:r w:rsidR="001649D8">
        <w:rPr>
          <w:rFonts w:ascii="Times New Roman" w:hAnsi="Times New Roman"/>
          <w:bCs/>
        </w:rPr>
        <w:t xml:space="preserve">Det ble referert til en </w:t>
      </w:r>
      <w:hyperlink r:id="rId8" w:history="1">
        <w:r w:rsidR="001649D8" w:rsidRPr="001649D8">
          <w:rPr>
            <w:rStyle w:val="Hyperkobling"/>
            <w:rFonts w:ascii="Times New Roman" w:hAnsi="Times New Roman"/>
          </w:rPr>
          <w:t>CCS markedsrapport</w:t>
        </w:r>
      </w:hyperlink>
      <w:r w:rsidR="001649D8">
        <w:rPr>
          <w:rFonts w:ascii="Times New Roman" w:hAnsi="Times New Roman"/>
          <w:bCs/>
        </w:rPr>
        <w:t xml:space="preserve"> som nylig er kommet ut og </w:t>
      </w:r>
      <w:hyperlink r:id="rId9" w:history="1">
        <w:r w:rsidR="001649D8" w:rsidRPr="001649D8">
          <w:rPr>
            <w:rStyle w:val="Hyperkobling"/>
            <w:rFonts w:ascii="Times New Roman" w:hAnsi="Times New Roman"/>
          </w:rPr>
          <w:t>IEA sin rapport</w:t>
        </w:r>
      </w:hyperlink>
      <w:r w:rsidR="001649D8">
        <w:rPr>
          <w:rFonts w:ascii="Times New Roman" w:hAnsi="Times New Roman"/>
          <w:bCs/>
        </w:rPr>
        <w:t xml:space="preserve"> som </w:t>
      </w:r>
      <w:r w:rsidR="005C5EAF">
        <w:rPr>
          <w:rFonts w:ascii="Times New Roman" w:hAnsi="Times New Roman"/>
          <w:bCs/>
        </w:rPr>
        <w:t>framhever fem nøkkelpunkter fo</w:t>
      </w:r>
      <w:r w:rsidR="00CF1CE9">
        <w:rPr>
          <w:rFonts w:ascii="Times New Roman" w:hAnsi="Times New Roman"/>
          <w:bCs/>
        </w:rPr>
        <w:t>r</w:t>
      </w:r>
      <w:r w:rsidR="005C5EAF">
        <w:rPr>
          <w:rFonts w:ascii="Times New Roman" w:hAnsi="Times New Roman"/>
          <w:bCs/>
        </w:rPr>
        <w:t xml:space="preserve"> å få til investeringer i CO</w:t>
      </w:r>
      <w:r w:rsidR="005C5EAF" w:rsidRPr="00CF1CE9">
        <w:rPr>
          <w:rFonts w:ascii="Times New Roman" w:hAnsi="Times New Roman"/>
          <w:bCs/>
          <w:vertAlign w:val="subscript"/>
        </w:rPr>
        <w:t>2</w:t>
      </w:r>
      <w:r w:rsidR="00631FF7">
        <w:rPr>
          <w:rFonts w:ascii="Times New Roman" w:hAnsi="Times New Roman"/>
          <w:bCs/>
        </w:rPr>
        <w:t>-</w:t>
      </w:r>
      <w:r w:rsidR="005C5EAF">
        <w:rPr>
          <w:rFonts w:ascii="Times New Roman" w:hAnsi="Times New Roman"/>
          <w:bCs/>
        </w:rPr>
        <w:t>håndtering.</w:t>
      </w:r>
      <w:r w:rsidR="00CF1CE9">
        <w:rPr>
          <w:rFonts w:ascii="Times New Roman" w:hAnsi="Times New Roman"/>
          <w:bCs/>
        </w:rPr>
        <w:t xml:space="preserve"> </w:t>
      </w:r>
      <w:r w:rsidR="001649D8">
        <w:rPr>
          <w:rFonts w:ascii="Times New Roman" w:hAnsi="Times New Roman"/>
          <w:bCs/>
        </w:rPr>
        <w:t>Andre viktige elementer for implementering av CO</w:t>
      </w:r>
      <w:r w:rsidR="001649D8" w:rsidRPr="00CF1CE9">
        <w:rPr>
          <w:rFonts w:ascii="Times New Roman" w:hAnsi="Times New Roman"/>
          <w:bCs/>
          <w:vertAlign w:val="subscript"/>
        </w:rPr>
        <w:t>2</w:t>
      </w:r>
      <w:r w:rsidR="00631FF7">
        <w:rPr>
          <w:rFonts w:ascii="Times New Roman" w:hAnsi="Times New Roman"/>
          <w:bCs/>
        </w:rPr>
        <w:t>-</w:t>
      </w:r>
      <w:r w:rsidR="001649D8">
        <w:rPr>
          <w:rFonts w:ascii="Times New Roman" w:hAnsi="Times New Roman"/>
          <w:bCs/>
        </w:rPr>
        <w:t xml:space="preserve">håndtering er den nylig </w:t>
      </w:r>
      <w:r w:rsidR="005C5EAF">
        <w:rPr>
          <w:rFonts w:ascii="Times New Roman" w:hAnsi="Times New Roman"/>
          <w:bCs/>
        </w:rPr>
        <w:t>økning</w:t>
      </w:r>
      <w:r w:rsidR="001649D8">
        <w:rPr>
          <w:rFonts w:ascii="Times New Roman" w:hAnsi="Times New Roman"/>
          <w:bCs/>
        </w:rPr>
        <w:t>en</w:t>
      </w:r>
      <w:r w:rsidR="005C5EAF">
        <w:rPr>
          <w:rFonts w:ascii="Times New Roman" w:hAnsi="Times New Roman"/>
          <w:bCs/>
        </w:rPr>
        <w:t xml:space="preserve"> av skatte insentivet i USA 45Q</w:t>
      </w:r>
      <w:r w:rsidR="001649D8">
        <w:rPr>
          <w:rFonts w:ascii="Times New Roman" w:hAnsi="Times New Roman"/>
          <w:bCs/>
        </w:rPr>
        <w:t>. I USA er det nå muligheter for å få</w:t>
      </w:r>
      <w:r w:rsidR="005C5EAF">
        <w:rPr>
          <w:rFonts w:ascii="Times New Roman" w:hAnsi="Times New Roman"/>
          <w:bCs/>
        </w:rPr>
        <w:t xml:space="preserve"> 35 USD/tonn CO</w:t>
      </w:r>
      <w:r w:rsidR="005C5EAF" w:rsidRPr="00F77E88">
        <w:rPr>
          <w:rFonts w:ascii="Times New Roman" w:hAnsi="Times New Roman"/>
          <w:bCs/>
          <w:vertAlign w:val="subscript"/>
        </w:rPr>
        <w:t>2</w:t>
      </w:r>
      <w:r w:rsidR="005C5EAF">
        <w:rPr>
          <w:rFonts w:ascii="Times New Roman" w:hAnsi="Times New Roman"/>
          <w:bCs/>
        </w:rPr>
        <w:t xml:space="preserve"> for bruk </w:t>
      </w:r>
      <w:r w:rsidR="00F77E88">
        <w:rPr>
          <w:rFonts w:ascii="Times New Roman" w:hAnsi="Times New Roman"/>
          <w:bCs/>
        </w:rPr>
        <w:t xml:space="preserve">eks ved </w:t>
      </w:r>
      <w:r w:rsidR="005C5EAF">
        <w:rPr>
          <w:rFonts w:ascii="Times New Roman" w:hAnsi="Times New Roman"/>
          <w:bCs/>
        </w:rPr>
        <w:t>EOR og 50 USD/t CO</w:t>
      </w:r>
      <w:r w:rsidR="005C5EAF" w:rsidRPr="00F77E88">
        <w:rPr>
          <w:rFonts w:ascii="Times New Roman" w:hAnsi="Times New Roman"/>
          <w:bCs/>
          <w:vertAlign w:val="subscript"/>
        </w:rPr>
        <w:t>2</w:t>
      </w:r>
      <w:r w:rsidR="005C5EAF">
        <w:rPr>
          <w:rFonts w:ascii="Times New Roman" w:hAnsi="Times New Roman"/>
          <w:bCs/>
        </w:rPr>
        <w:t xml:space="preserve"> for lagring</w:t>
      </w:r>
      <w:r w:rsidR="001649D8">
        <w:rPr>
          <w:rFonts w:ascii="Times New Roman" w:hAnsi="Times New Roman"/>
          <w:bCs/>
        </w:rPr>
        <w:t>. Dette</w:t>
      </w:r>
      <w:r w:rsidR="005C5EAF">
        <w:rPr>
          <w:rFonts w:ascii="Times New Roman" w:hAnsi="Times New Roman"/>
          <w:bCs/>
        </w:rPr>
        <w:t xml:space="preserve"> forventes å få stor betydning for framtidige investeringer innen CCS.</w:t>
      </w:r>
    </w:p>
    <w:p w14:paraId="5B15B1FA" w14:textId="77777777" w:rsidR="00F36490" w:rsidRDefault="00F36490" w:rsidP="00836E60">
      <w:pPr>
        <w:autoSpaceDE w:val="0"/>
        <w:autoSpaceDN w:val="0"/>
        <w:rPr>
          <w:rFonts w:ascii="Times New Roman" w:hAnsi="Times New Roman"/>
          <w:bCs/>
        </w:rPr>
      </w:pPr>
    </w:p>
    <w:p w14:paraId="6A59A85F" w14:textId="77777777" w:rsidR="00F36490" w:rsidRDefault="00F36490" w:rsidP="00836E60">
      <w:pPr>
        <w:autoSpaceDE w:val="0"/>
        <w:autoSpaceDN w:val="0"/>
        <w:rPr>
          <w:rFonts w:ascii="Times New Roman" w:hAnsi="Times New Roman"/>
          <w:bCs/>
        </w:rPr>
      </w:pPr>
      <w:r>
        <w:rPr>
          <w:rFonts w:ascii="Times New Roman" w:hAnsi="Times New Roman"/>
          <w:bCs/>
        </w:rPr>
        <w:t>Flere av IEA sine rapporter på CO</w:t>
      </w:r>
      <w:r w:rsidRPr="009074EB">
        <w:rPr>
          <w:rFonts w:ascii="Times New Roman" w:hAnsi="Times New Roman"/>
          <w:bCs/>
          <w:vertAlign w:val="subscript"/>
        </w:rPr>
        <w:t>2</w:t>
      </w:r>
      <w:r w:rsidR="007E15C6">
        <w:rPr>
          <w:rFonts w:ascii="Times New Roman" w:hAnsi="Times New Roman"/>
          <w:bCs/>
        </w:rPr>
        <w:t>-</w:t>
      </w:r>
      <w:r>
        <w:rPr>
          <w:rFonts w:ascii="Times New Roman" w:hAnsi="Times New Roman"/>
          <w:bCs/>
        </w:rPr>
        <w:t xml:space="preserve">håndtering, finner du </w:t>
      </w:r>
      <w:hyperlink r:id="rId10" w:history="1">
        <w:r w:rsidRPr="00F36490">
          <w:rPr>
            <w:rStyle w:val="Hyperkobling"/>
            <w:rFonts w:ascii="Times New Roman" w:hAnsi="Times New Roman"/>
          </w:rPr>
          <w:t>her</w:t>
        </w:r>
      </w:hyperlink>
      <w:r>
        <w:rPr>
          <w:rFonts w:ascii="Times New Roman" w:hAnsi="Times New Roman"/>
          <w:bCs/>
        </w:rPr>
        <w:t>.</w:t>
      </w:r>
    </w:p>
    <w:p w14:paraId="0C9D3B94" w14:textId="77777777" w:rsidR="003A20A4" w:rsidRDefault="003A20A4" w:rsidP="00836E60">
      <w:pPr>
        <w:autoSpaceDE w:val="0"/>
        <w:autoSpaceDN w:val="0"/>
        <w:rPr>
          <w:rFonts w:ascii="Times New Roman" w:hAnsi="Times New Roman"/>
          <w:bCs/>
        </w:rPr>
      </w:pPr>
    </w:p>
    <w:p w14:paraId="070341EF" w14:textId="77777777" w:rsidR="009074EB" w:rsidRDefault="009074EB" w:rsidP="00836E60">
      <w:pPr>
        <w:autoSpaceDE w:val="0"/>
        <w:autoSpaceDN w:val="0"/>
        <w:rPr>
          <w:rFonts w:ascii="Times New Roman" w:hAnsi="Times New Roman"/>
          <w:bCs/>
        </w:rPr>
      </w:pPr>
      <w:r>
        <w:rPr>
          <w:rFonts w:ascii="Times New Roman" w:hAnsi="Times New Roman"/>
          <w:bCs/>
        </w:rPr>
        <w:t xml:space="preserve">Global CCSI orienterte kort om sine aktiviteter. De er nå reorganisert og jobber ikke lenger med teknisk arbeid. IEAGHG publiserer teknisk arbeid, men GCCS </w:t>
      </w:r>
      <w:proofErr w:type="spellStart"/>
      <w:r>
        <w:rPr>
          <w:rFonts w:ascii="Times New Roman" w:hAnsi="Times New Roman"/>
          <w:bCs/>
        </w:rPr>
        <w:t>Institute</w:t>
      </w:r>
      <w:proofErr w:type="spellEnd"/>
      <w:r>
        <w:rPr>
          <w:rFonts w:ascii="Times New Roman" w:hAnsi="Times New Roman"/>
          <w:bCs/>
        </w:rPr>
        <w:t xml:space="preserve"> fokuserer på forretninger rundt </w:t>
      </w:r>
      <w:r w:rsidR="00631FF7">
        <w:rPr>
          <w:rFonts w:ascii="Times New Roman" w:hAnsi="Times New Roman"/>
          <w:bCs/>
        </w:rPr>
        <w:t>CO</w:t>
      </w:r>
      <w:r w:rsidR="00631FF7">
        <w:rPr>
          <w:rFonts w:ascii="Times New Roman" w:hAnsi="Times New Roman"/>
          <w:bCs/>
          <w:vertAlign w:val="subscript"/>
        </w:rPr>
        <w:t>2</w:t>
      </w:r>
      <w:r w:rsidR="00631FF7">
        <w:rPr>
          <w:rFonts w:ascii="Times New Roman" w:hAnsi="Times New Roman"/>
          <w:bCs/>
        </w:rPr>
        <w:t>-</w:t>
      </w:r>
      <w:r>
        <w:rPr>
          <w:rFonts w:ascii="Times New Roman" w:hAnsi="Times New Roman"/>
          <w:bCs/>
        </w:rPr>
        <w:t xml:space="preserve">håndtering, konsulentarbeid for sine medlemmer og å fremme implementering av </w:t>
      </w:r>
      <w:r w:rsidR="00631FF7">
        <w:rPr>
          <w:rFonts w:ascii="Times New Roman" w:hAnsi="Times New Roman"/>
          <w:bCs/>
        </w:rPr>
        <w:t>CO</w:t>
      </w:r>
      <w:r w:rsidR="00631FF7">
        <w:rPr>
          <w:rFonts w:ascii="Times New Roman" w:hAnsi="Times New Roman"/>
          <w:bCs/>
          <w:vertAlign w:val="subscript"/>
        </w:rPr>
        <w:t>2</w:t>
      </w:r>
      <w:r w:rsidR="00631FF7">
        <w:rPr>
          <w:rFonts w:ascii="Times New Roman" w:hAnsi="Times New Roman"/>
          <w:bCs/>
        </w:rPr>
        <w:t>-</w:t>
      </w:r>
      <w:r>
        <w:rPr>
          <w:rFonts w:ascii="Times New Roman" w:hAnsi="Times New Roman"/>
          <w:bCs/>
        </w:rPr>
        <w:t>håndtering.</w:t>
      </w:r>
    </w:p>
    <w:p w14:paraId="230524E6" w14:textId="77777777" w:rsidR="009074EB" w:rsidRDefault="009074EB" w:rsidP="00836E60">
      <w:pPr>
        <w:autoSpaceDE w:val="0"/>
        <w:autoSpaceDN w:val="0"/>
        <w:rPr>
          <w:rFonts w:ascii="Times New Roman" w:hAnsi="Times New Roman"/>
          <w:bCs/>
        </w:rPr>
      </w:pPr>
    </w:p>
    <w:p w14:paraId="17655271" w14:textId="77777777" w:rsidR="00CF1CE9" w:rsidRDefault="00CF1CE9" w:rsidP="00836E60">
      <w:pPr>
        <w:autoSpaceDE w:val="0"/>
        <w:autoSpaceDN w:val="0"/>
        <w:rPr>
          <w:rFonts w:ascii="Times New Roman" w:hAnsi="Times New Roman"/>
          <w:bCs/>
        </w:rPr>
      </w:pPr>
      <w:r>
        <w:rPr>
          <w:rFonts w:ascii="Times New Roman" w:hAnsi="Times New Roman"/>
          <w:bCs/>
        </w:rPr>
        <w:t>En viktig diskusjon på møtet var om kommunikasjon rundt CO</w:t>
      </w:r>
      <w:r w:rsidRPr="007E6075">
        <w:rPr>
          <w:rFonts w:ascii="Times New Roman" w:hAnsi="Times New Roman"/>
          <w:bCs/>
          <w:vertAlign w:val="subscript"/>
        </w:rPr>
        <w:t>2</w:t>
      </w:r>
      <w:r w:rsidR="00631FF7">
        <w:rPr>
          <w:rFonts w:ascii="Times New Roman" w:hAnsi="Times New Roman"/>
          <w:bCs/>
        </w:rPr>
        <w:t>-</w:t>
      </w:r>
      <w:r>
        <w:rPr>
          <w:rFonts w:ascii="Times New Roman" w:hAnsi="Times New Roman"/>
          <w:bCs/>
        </w:rPr>
        <w:t>håndtering og hvordan nå et videre publikum enn kun de som allerede er involvert. Gassnova og deres arbeid for å informere ble fremhevet.</w:t>
      </w:r>
    </w:p>
    <w:p w14:paraId="25186616" w14:textId="77777777" w:rsidR="007E6075" w:rsidRDefault="007E6075" w:rsidP="00836E60">
      <w:pPr>
        <w:autoSpaceDE w:val="0"/>
        <w:autoSpaceDN w:val="0"/>
        <w:rPr>
          <w:rFonts w:ascii="Times New Roman" w:hAnsi="Times New Roman"/>
          <w:bCs/>
        </w:rPr>
      </w:pPr>
    </w:p>
    <w:p w14:paraId="341113D6" w14:textId="77777777" w:rsidR="007E6075" w:rsidRDefault="007E6075" w:rsidP="00836E60">
      <w:pPr>
        <w:autoSpaceDE w:val="0"/>
        <w:autoSpaceDN w:val="0"/>
        <w:rPr>
          <w:rFonts w:ascii="Times New Roman" w:hAnsi="Times New Roman"/>
          <w:bCs/>
        </w:rPr>
      </w:pPr>
      <w:r>
        <w:rPr>
          <w:rFonts w:ascii="Times New Roman" w:hAnsi="Times New Roman"/>
          <w:bCs/>
        </w:rPr>
        <w:t xml:space="preserve">Nederland orienterte om energi policy der </w:t>
      </w:r>
      <w:r w:rsidR="00BD3A31">
        <w:rPr>
          <w:rFonts w:ascii="Times New Roman" w:hAnsi="Times New Roman"/>
          <w:bCs/>
        </w:rPr>
        <w:t>CO</w:t>
      </w:r>
      <w:r w:rsidR="00BD3A31" w:rsidRPr="00BD3A31">
        <w:rPr>
          <w:rFonts w:ascii="Times New Roman" w:hAnsi="Times New Roman"/>
          <w:bCs/>
          <w:vertAlign w:val="subscript"/>
        </w:rPr>
        <w:t>2</w:t>
      </w:r>
      <w:r w:rsidR="00631FF7">
        <w:rPr>
          <w:rFonts w:ascii="Times New Roman" w:hAnsi="Times New Roman"/>
          <w:bCs/>
        </w:rPr>
        <w:t>-</w:t>
      </w:r>
      <w:r>
        <w:rPr>
          <w:rFonts w:ascii="Times New Roman" w:hAnsi="Times New Roman"/>
          <w:bCs/>
        </w:rPr>
        <w:t xml:space="preserve">håndtering er en viktig del. Den nye regjeringen har høye ambisjoner for reduksjon av </w:t>
      </w:r>
      <w:r w:rsidR="00BD3A31">
        <w:rPr>
          <w:rFonts w:ascii="Times New Roman" w:hAnsi="Times New Roman"/>
          <w:bCs/>
        </w:rPr>
        <w:t>CO</w:t>
      </w:r>
      <w:r w:rsidR="00BD3A31" w:rsidRPr="00BD3A31">
        <w:rPr>
          <w:rFonts w:ascii="Times New Roman" w:hAnsi="Times New Roman"/>
          <w:bCs/>
          <w:vertAlign w:val="subscript"/>
        </w:rPr>
        <w:t>2</w:t>
      </w:r>
      <w:r w:rsidR="007E15C6">
        <w:rPr>
          <w:rFonts w:ascii="Times New Roman" w:hAnsi="Times New Roman"/>
          <w:bCs/>
        </w:rPr>
        <w:t>-</w:t>
      </w:r>
      <w:r>
        <w:rPr>
          <w:rFonts w:ascii="Times New Roman" w:hAnsi="Times New Roman"/>
          <w:bCs/>
        </w:rPr>
        <w:t>utslipp</w:t>
      </w:r>
      <w:r w:rsidR="00DB5C9D">
        <w:rPr>
          <w:rFonts w:ascii="Times New Roman" w:hAnsi="Times New Roman"/>
          <w:bCs/>
        </w:rPr>
        <w:t xml:space="preserve"> (49%)</w:t>
      </w:r>
      <w:r>
        <w:rPr>
          <w:rFonts w:ascii="Times New Roman" w:hAnsi="Times New Roman"/>
          <w:bCs/>
        </w:rPr>
        <w:t xml:space="preserve"> og har en målsetting om 18 millioner tonn/år fangst av CO</w:t>
      </w:r>
      <w:r w:rsidRPr="00DB5C9D">
        <w:rPr>
          <w:rFonts w:ascii="Times New Roman" w:hAnsi="Times New Roman"/>
          <w:bCs/>
          <w:vertAlign w:val="subscript"/>
        </w:rPr>
        <w:t>2</w:t>
      </w:r>
      <w:r>
        <w:rPr>
          <w:rFonts w:ascii="Times New Roman" w:hAnsi="Times New Roman"/>
          <w:bCs/>
        </w:rPr>
        <w:t xml:space="preserve"> fra industrisektoren i 2030. Dette tilsvarer 10% av dagens utslipp. </w:t>
      </w:r>
      <w:r w:rsidR="00DB5C9D">
        <w:rPr>
          <w:rFonts w:ascii="Times New Roman" w:hAnsi="Times New Roman"/>
          <w:bCs/>
        </w:rPr>
        <w:t>Road prosjektet er som kjent kanseller, men Port Rotterdam jobber med infrastruktur på CO</w:t>
      </w:r>
      <w:r w:rsidR="00DB5C9D" w:rsidRPr="000B4E98">
        <w:rPr>
          <w:rFonts w:ascii="Times New Roman" w:hAnsi="Times New Roman"/>
          <w:bCs/>
          <w:vertAlign w:val="subscript"/>
        </w:rPr>
        <w:t>2</w:t>
      </w:r>
      <w:r w:rsidR="00631FF7">
        <w:rPr>
          <w:rFonts w:ascii="Times New Roman" w:hAnsi="Times New Roman"/>
          <w:bCs/>
        </w:rPr>
        <w:t>-</w:t>
      </w:r>
      <w:r w:rsidR="00DB5C9D">
        <w:rPr>
          <w:rFonts w:ascii="Times New Roman" w:hAnsi="Times New Roman"/>
          <w:bCs/>
        </w:rPr>
        <w:t>transport. Et viktig prosjekt er fanget CO</w:t>
      </w:r>
      <w:r w:rsidR="00DB5C9D" w:rsidRPr="00DB5C9D">
        <w:rPr>
          <w:rFonts w:ascii="Times New Roman" w:hAnsi="Times New Roman"/>
          <w:bCs/>
          <w:vertAlign w:val="subscript"/>
        </w:rPr>
        <w:t>2</w:t>
      </w:r>
      <w:r w:rsidR="00DB5C9D">
        <w:rPr>
          <w:rFonts w:ascii="Times New Roman" w:hAnsi="Times New Roman"/>
          <w:bCs/>
        </w:rPr>
        <w:t xml:space="preserve"> for bruk i drivhus og de ser for seg et behov på 1.5 </w:t>
      </w:r>
      <w:proofErr w:type="spellStart"/>
      <w:r w:rsidR="00DB5C9D">
        <w:rPr>
          <w:rFonts w:ascii="Times New Roman" w:hAnsi="Times New Roman"/>
          <w:bCs/>
        </w:rPr>
        <w:t>mill</w:t>
      </w:r>
      <w:proofErr w:type="spellEnd"/>
      <w:r w:rsidR="00DB5C9D">
        <w:rPr>
          <w:rFonts w:ascii="Times New Roman" w:hAnsi="Times New Roman"/>
          <w:bCs/>
        </w:rPr>
        <w:t xml:space="preserve"> tonn. Nederland ser også på fangst av </w:t>
      </w:r>
      <w:r w:rsidR="00631FF7">
        <w:rPr>
          <w:rFonts w:ascii="Times New Roman" w:hAnsi="Times New Roman"/>
          <w:bCs/>
        </w:rPr>
        <w:t>CO</w:t>
      </w:r>
      <w:r w:rsidR="00631FF7">
        <w:rPr>
          <w:rFonts w:ascii="Times New Roman" w:hAnsi="Times New Roman"/>
          <w:bCs/>
          <w:vertAlign w:val="subscript"/>
        </w:rPr>
        <w:t>2</w:t>
      </w:r>
      <w:r w:rsidR="00631FF7">
        <w:rPr>
          <w:rFonts w:ascii="Times New Roman" w:hAnsi="Times New Roman"/>
          <w:bCs/>
        </w:rPr>
        <w:t xml:space="preserve"> </w:t>
      </w:r>
      <w:r w:rsidR="00DB5C9D">
        <w:rPr>
          <w:rFonts w:ascii="Times New Roman" w:hAnsi="Times New Roman"/>
          <w:bCs/>
        </w:rPr>
        <w:t xml:space="preserve">fra søppelforbrenningsanlegg i </w:t>
      </w:r>
      <w:proofErr w:type="spellStart"/>
      <w:r w:rsidR="00DB5C9D">
        <w:rPr>
          <w:rFonts w:ascii="Times New Roman" w:hAnsi="Times New Roman"/>
          <w:bCs/>
        </w:rPr>
        <w:t>Twence</w:t>
      </w:r>
      <w:proofErr w:type="spellEnd"/>
      <w:r w:rsidR="00DB5C9D">
        <w:rPr>
          <w:rFonts w:ascii="Times New Roman" w:hAnsi="Times New Roman"/>
          <w:bCs/>
        </w:rPr>
        <w:t>.</w:t>
      </w:r>
    </w:p>
    <w:p w14:paraId="0E32DB47" w14:textId="77777777" w:rsidR="00DB5C9D" w:rsidRDefault="00DB5C9D" w:rsidP="00836E60">
      <w:pPr>
        <w:autoSpaceDE w:val="0"/>
        <w:autoSpaceDN w:val="0"/>
        <w:rPr>
          <w:rFonts w:ascii="Times New Roman" w:hAnsi="Times New Roman"/>
          <w:bCs/>
        </w:rPr>
      </w:pPr>
    </w:p>
    <w:p w14:paraId="5012E0CC" w14:textId="77777777" w:rsidR="00DB5C9D" w:rsidRDefault="00DB5C9D" w:rsidP="00836E60">
      <w:pPr>
        <w:autoSpaceDE w:val="0"/>
        <w:autoSpaceDN w:val="0"/>
        <w:rPr>
          <w:rFonts w:ascii="Times New Roman" w:hAnsi="Times New Roman"/>
          <w:bCs/>
        </w:rPr>
      </w:pPr>
      <w:r>
        <w:rPr>
          <w:rFonts w:ascii="Times New Roman" w:hAnsi="Times New Roman"/>
          <w:bCs/>
        </w:rPr>
        <w:t xml:space="preserve">Frankrike orienterte om sine aktiviteter. De har vært aktivt med i </w:t>
      </w:r>
      <w:proofErr w:type="spellStart"/>
      <w:r>
        <w:rPr>
          <w:rFonts w:ascii="Times New Roman" w:hAnsi="Times New Roman"/>
          <w:bCs/>
        </w:rPr>
        <w:t>Mission</w:t>
      </w:r>
      <w:proofErr w:type="spellEnd"/>
      <w:r>
        <w:rPr>
          <w:rFonts w:ascii="Times New Roman" w:hAnsi="Times New Roman"/>
          <w:bCs/>
        </w:rPr>
        <w:t xml:space="preserve"> </w:t>
      </w:r>
      <w:proofErr w:type="spellStart"/>
      <w:r>
        <w:rPr>
          <w:rFonts w:ascii="Times New Roman" w:hAnsi="Times New Roman"/>
          <w:bCs/>
        </w:rPr>
        <w:t>Innovation</w:t>
      </w:r>
      <w:proofErr w:type="spellEnd"/>
      <w:r>
        <w:rPr>
          <w:rFonts w:ascii="Times New Roman" w:hAnsi="Times New Roman"/>
          <w:bCs/>
        </w:rPr>
        <w:t xml:space="preserve"> Challenge på CCUS og støtter opp om CO2 </w:t>
      </w:r>
      <w:proofErr w:type="spellStart"/>
      <w:r>
        <w:rPr>
          <w:rFonts w:ascii="Times New Roman" w:hAnsi="Times New Roman"/>
          <w:bCs/>
        </w:rPr>
        <w:t>GeoNet</w:t>
      </w:r>
      <w:proofErr w:type="spellEnd"/>
      <w:r>
        <w:rPr>
          <w:rFonts w:ascii="Times New Roman" w:hAnsi="Times New Roman"/>
          <w:bCs/>
        </w:rPr>
        <w:t xml:space="preserve">. Videre ser de på </w:t>
      </w:r>
      <w:proofErr w:type="gramStart"/>
      <w:r>
        <w:rPr>
          <w:rFonts w:ascii="Times New Roman" w:hAnsi="Times New Roman"/>
          <w:bCs/>
        </w:rPr>
        <w:t>en hydrogen</w:t>
      </w:r>
      <w:proofErr w:type="gramEnd"/>
      <w:r>
        <w:rPr>
          <w:rFonts w:ascii="Times New Roman" w:hAnsi="Times New Roman"/>
          <w:bCs/>
        </w:rPr>
        <w:t xml:space="preserve"> </w:t>
      </w:r>
      <w:r w:rsidR="000B4E98">
        <w:rPr>
          <w:rFonts w:ascii="Times New Roman" w:hAnsi="Times New Roman"/>
          <w:bCs/>
        </w:rPr>
        <w:t>forsyningskjede</w:t>
      </w:r>
      <w:r>
        <w:rPr>
          <w:rFonts w:ascii="Times New Roman" w:hAnsi="Times New Roman"/>
          <w:bCs/>
        </w:rPr>
        <w:t xml:space="preserve"> inkluder CO</w:t>
      </w:r>
      <w:r w:rsidRPr="000B4E98">
        <w:rPr>
          <w:rFonts w:ascii="Times New Roman" w:hAnsi="Times New Roman"/>
          <w:bCs/>
          <w:vertAlign w:val="subscript"/>
        </w:rPr>
        <w:t>2</w:t>
      </w:r>
      <w:r w:rsidR="00852D46">
        <w:rPr>
          <w:rFonts w:ascii="Times New Roman" w:hAnsi="Times New Roman"/>
          <w:bCs/>
        </w:rPr>
        <w:t>-</w:t>
      </w:r>
      <w:r>
        <w:rPr>
          <w:rFonts w:ascii="Times New Roman" w:hAnsi="Times New Roman"/>
          <w:bCs/>
        </w:rPr>
        <w:t xml:space="preserve">fangst. Reduksjon av </w:t>
      </w:r>
      <w:r w:rsidR="00631FF7">
        <w:rPr>
          <w:rFonts w:ascii="Times New Roman" w:hAnsi="Times New Roman"/>
          <w:bCs/>
        </w:rPr>
        <w:t>CO</w:t>
      </w:r>
      <w:r w:rsidR="00631FF7">
        <w:rPr>
          <w:rFonts w:ascii="Times New Roman" w:hAnsi="Times New Roman"/>
          <w:bCs/>
          <w:vertAlign w:val="subscript"/>
        </w:rPr>
        <w:t>2</w:t>
      </w:r>
      <w:r w:rsidR="00631FF7">
        <w:rPr>
          <w:rFonts w:ascii="Times New Roman" w:hAnsi="Times New Roman"/>
          <w:bCs/>
        </w:rPr>
        <w:t xml:space="preserve"> </w:t>
      </w:r>
      <w:r>
        <w:rPr>
          <w:rFonts w:ascii="Times New Roman" w:hAnsi="Times New Roman"/>
          <w:bCs/>
        </w:rPr>
        <w:t>fra industriområdet i St. Fergus er et viktig prosjekt.</w:t>
      </w:r>
    </w:p>
    <w:p w14:paraId="7F46E02D" w14:textId="77777777" w:rsidR="00A940B3" w:rsidRDefault="00A940B3" w:rsidP="00A940B3">
      <w:pPr>
        <w:autoSpaceDE w:val="0"/>
        <w:autoSpaceDN w:val="0"/>
        <w:rPr>
          <w:rFonts w:ascii="Times New Roman" w:hAnsi="Times New Roman"/>
          <w:b/>
          <w:bCs/>
        </w:rPr>
      </w:pPr>
    </w:p>
    <w:p w14:paraId="5D131808" w14:textId="77777777" w:rsidR="00B82E87" w:rsidRDefault="00A940B3" w:rsidP="00A940B3">
      <w:pPr>
        <w:autoSpaceDE w:val="0"/>
        <w:autoSpaceDN w:val="0"/>
        <w:rPr>
          <w:rFonts w:ascii="Times New Roman" w:hAnsi="Times New Roman"/>
          <w:b/>
          <w:bCs/>
          <w:lang w:val="en-GB"/>
        </w:rPr>
      </w:pPr>
      <w:r w:rsidRPr="00546222">
        <w:rPr>
          <w:rFonts w:ascii="Times New Roman" w:hAnsi="Times New Roman"/>
          <w:b/>
          <w:bCs/>
          <w:lang w:val="en-GB"/>
        </w:rPr>
        <w:t xml:space="preserve">London </w:t>
      </w:r>
      <w:proofErr w:type="spellStart"/>
      <w:r w:rsidRPr="00546222">
        <w:rPr>
          <w:rFonts w:ascii="Times New Roman" w:hAnsi="Times New Roman"/>
          <w:b/>
          <w:bCs/>
          <w:lang w:val="en-GB"/>
        </w:rPr>
        <w:t>konvensjonen</w:t>
      </w:r>
      <w:proofErr w:type="spellEnd"/>
      <w:r w:rsidR="00B82E87">
        <w:rPr>
          <w:rFonts w:ascii="Times New Roman" w:hAnsi="Times New Roman"/>
          <w:b/>
          <w:bCs/>
          <w:lang w:val="en-GB"/>
        </w:rPr>
        <w:t xml:space="preserve"> </w:t>
      </w:r>
      <w:proofErr w:type="spellStart"/>
      <w:r w:rsidR="00B82E87">
        <w:rPr>
          <w:rFonts w:ascii="Times New Roman" w:hAnsi="Times New Roman"/>
          <w:b/>
          <w:bCs/>
          <w:lang w:val="en-GB"/>
        </w:rPr>
        <w:t>ratifisert</w:t>
      </w:r>
      <w:proofErr w:type="spellEnd"/>
      <w:r w:rsidR="00B82E87">
        <w:rPr>
          <w:rFonts w:ascii="Times New Roman" w:hAnsi="Times New Roman"/>
          <w:b/>
          <w:bCs/>
          <w:lang w:val="en-GB"/>
        </w:rPr>
        <w:t xml:space="preserve"> </w:t>
      </w:r>
    </w:p>
    <w:p w14:paraId="408DC425" w14:textId="77777777" w:rsidR="00A940B3" w:rsidRDefault="00A940B3" w:rsidP="00A940B3">
      <w:pPr>
        <w:autoSpaceDE w:val="0"/>
        <w:autoSpaceDN w:val="0"/>
        <w:rPr>
          <w:rFonts w:ascii="Times New Roman" w:hAnsi="Times New Roman"/>
          <w:bCs/>
        </w:rPr>
      </w:pPr>
      <w:r w:rsidRPr="00A940B3">
        <w:rPr>
          <w:rFonts w:ascii="Times New Roman" w:hAnsi="Times New Roman"/>
          <w:bCs/>
        </w:rPr>
        <w:t xml:space="preserve">Norge, Storbritannia, Nederland, Iran og </w:t>
      </w:r>
      <w:r>
        <w:rPr>
          <w:rFonts w:ascii="Times New Roman" w:hAnsi="Times New Roman"/>
          <w:bCs/>
        </w:rPr>
        <w:t>Finland har ratifisert London tillegget til London konvensjonen om CO</w:t>
      </w:r>
      <w:r w:rsidRPr="00A940B3">
        <w:rPr>
          <w:rFonts w:ascii="Times New Roman" w:hAnsi="Times New Roman"/>
          <w:bCs/>
          <w:vertAlign w:val="subscript"/>
        </w:rPr>
        <w:t>2</w:t>
      </w:r>
      <w:r w:rsidR="00852D46">
        <w:rPr>
          <w:rFonts w:ascii="Times New Roman" w:hAnsi="Times New Roman"/>
          <w:bCs/>
        </w:rPr>
        <w:t>-</w:t>
      </w:r>
      <w:r>
        <w:rPr>
          <w:rFonts w:ascii="Times New Roman" w:hAnsi="Times New Roman"/>
          <w:bCs/>
        </w:rPr>
        <w:t>fangst mellom land. Det er behov for at 2/3 av de 49 landene som er en del av Londonkonvensjonen ratifiserer tillegget for at CO</w:t>
      </w:r>
      <w:r w:rsidRPr="00AD2DE2">
        <w:rPr>
          <w:rFonts w:ascii="Times New Roman" w:hAnsi="Times New Roman"/>
          <w:bCs/>
          <w:vertAlign w:val="subscript"/>
        </w:rPr>
        <w:t>2</w:t>
      </w:r>
      <w:r w:rsidR="007E15C6">
        <w:rPr>
          <w:rFonts w:ascii="Times New Roman" w:hAnsi="Times New Roman"/>
          <w:bCs/>
        </w:rPr>
        <w:t>-</w:t>
      </w:r>
      <w:r>
        <w:rPr>
          <w:rFonts w:ascii="Times New Roman" w:hAnsi="Times New Roman"/>
          <w:bCs/>
        </w:rPr>
        <w:t xml:space="preserve">transport mellom land skal bli lovlig. </w:t>
      </w:r>
      <w:r w:rsidR="00AD2DE2">
        <w:rPr>
          <w:rFonts w:ascii="Times New Roman" w:hAnsi="Times New Roman"/>
          <w:bCs/>
        </w:rPr>
        <w:t xml:space="preserve">Man kan imidlertid finne </w:t>
      </w:r>
      <w:r>
        <w:rPr>
          <w:rFonts w:ascii="Times New Roman" w:hAnsi="Times New Roman"/>
          <w:bCs/>
        </w:rPr>
        <w:t>andre mellomløsninger for</w:t>
      </w:r>
      <w:r w:rsidR="00AD2DE2">
        <w:rPr>
          <w:rFonts w:ascii="Times New Roman" w:hAnsi="Times New Roman"/>
          <w:bCs/>
        </w:rPr>
        <w:t xml:space="preserve"> å tillate</w:t>
      </w:r>
      <w:r>
        <w:rPr>
          <w:rFonts w:ascii="Times New Roman" w:hAnsi="Times New Roman"/>
          <w:bCs/>
        </w:rPr>
        <w:t xml:space="preserve"> transport av CO</w:t>
      </w:r>
      <w:r w:rsidRPr="00AD2DE2">
        <w:rPr>
          <w:rFonts w:ascii="Times New Roman" w:hAnsi="Times New Roman"/>
          <w:bCs/>
          <w:vertAlign w:val="subscript"/>
        </w:rPr>
        <w:t>2</w:t>
      </w:r>
      <w:r>
        <w:rPr>
          <w:rFonts w:ascii="Times New Roman" w:hAnsi="Times New Roman"/>
          <w:bCs/>
        </w:rPr>
        <w:t xml:space="preserve"> fra f.eks. Europa til Norge</w:t>
      </w:r>
      <w:r w:rsidR="00AD2DE2">
        <w:rPr>
          <w:rFonts w:ascii="Times New Roman" w:hAnsi="Times New Roman"/>
          <w:bCs/>
        </w:rPr>
        <w:t xml:space="preserve">. </w:t>
      </w:r>
      <w:r>
        <w:rPr>
          <w:rFonts w:ascii="Times New Roman" w:hAnsi="Times New Roman"/>
          <w:bCs/>
        </w:rPr>
        <w:t xml:space="preserve"> </w:t>
      </w:r>
    </w:p>
    <w:p w14:paraId="19AAA619" w14:textId="77777777" w:rsidR="00546222" w:rsidRDefault="00546222" w:rsidP="00A940B3">
      <w:pPr>
        <w:autoSpaceDE w:val="0"/>
        <w:autoSpaceDN w:val="0"/>
        <w:rPr>
          <w:rFonts w:ascii="Times New Roman" w:hAnsi="Times New Roman"/>
          <w:bCs/>
        </w:rPr>
      </w:pPr>
    </w:p>
    <w:p w14:paraId="42B2BAB7" w14:textId="77777777" w:rsidR="00B82E87" w:rsidRPr="00B82E87" w:rsidRDefault="00B82E87" w:rsidP="00A940B3">
      <w:pPr>
        <w:autoSpaceDE w:val="0"/>
        <w:autoSpaceDN w:val="0"/>
        <w:rPr>
          <w:rFonts w:ascii="Times New Roman" w:hAnsi="Times New Roman"/>
          <w:b/>
          <w:bCs/>
          <w:lang w:val="en-GB"/>
        </w:rPr>
      </w:pPr>
      <w:r w:rsidRPr="00B82E87">
        <w:rPr>
          <w:rFonts w:ascii="Times New Roman" w:hAnsi="Times New Roman"/>
          <w:b/>
          <w:bCs/>
          <w:lang w:val="en-GB"/>
        </w:rPr>
        <w:t>IEAGHG med på COP-23 og innspillsrunden til IPCCS Special report</w:t>
      </w:r>
    </w:p>
    <w:p w14:paraId="5DB1C9B5" w14:textId="77777777" w:rsidR="00546222" w:rsidRDefault="00546222" w:rsidP="00A940B3">
      <w:pPr>
        <w:autoSpaceDE w:val="0"/>
        <w:autoSpaceDN w:val="0"/>
        <w:rPr>
          <w:rFonts w:ascii="Times New Roman" w:hAnsi="Times New Roman"/>
          <w:bCs/>
        </w:rPr>
      </w:pPr>
      <w:r>
        <w:rPr>
          <w:rFonts w:ascii="Times New Roman" w:hAnsi="Times New Roman"/>
          <w:bCs/>
        </w:rPr>
        <w:lastRenderedPageBreak/>
        <w:t>COP-23 ble avholdt i november 2017 på Fiji øyene. IEAGHG organiserte et "side-</w:t>
      </w:r>
      <w:proofErr w:type="spellStart"/>
      <w:r>
        <w:rPr>
          <w:rFonts w:ascii="Times New Roman" w:hAnsi="Times New Roman"/>
          <w:bCs/>
        </w:rPr>
        <w:t>event</w:t>
      </w:r>
      <w:proofErr w:type="spellEnd"/>
      <w:r>
        <w:rPr>
          <w:rFonts w:ascii="Times New Roman" w:hAnsi="Times New Roman"/>
          <w:bCs/>
        </w:rPr>
        <w:t xml:space="preserve">" på </w:t>
      </w:r>
      <w:r w:rsidR="00BD3A31">
        <w:rPr>
          <w:rFonts w:ascii="Times New Roman" w:hAnsi="Times New Roman"/>
          <w:bCs/>
        </w:rPr>
        <w:t>CO</w:t>
      </w:r>
      <w:r w:rsidR="00BD3A31" w:rsidRPr="00BD3A31">
        <w:rPr>
          <w:rFonts w:ascii="Times New Roman" w:hAnsi="Times New Roman"/>
          <w:bCs/>
          <w:vertAlign w:val="subscript"/>
        </w:rPr>
        <w:t>2</w:t>
      </w:r>
      <w:r w:rsidR="00852D46">
        <w:rPr>
          <w:rFonts w:ascii="Times New Roman" w:hAnsi="Times New Roman"/>
          <w:bCs/>
        </w:rPr>
        <w:t>-</w:t>
      </w:r>
      <w:r>
        <w:rPr>
          <w:rFonts w:ascii="Times New Roman" w:hAnsi="Times New Roman"/>
          <w:bCs/>
        </w:rPr>
        <w:t xml:space="preserve">håndtering sammen med </w:t>
      </w:r>
      <w:proofErr w:type="spellStart"/>
      <w:r>
        <w:rPr>
          <w:rFonts w:ascii="Times New Roman" w:hAnsi="Times New Roman"/>
          <w:bCs/>
        </w:rPr>
        <w:t>University</w:t>
      </w:r>
      <w:proofErr w:type="spellEnd"/>
      <w:r>
        <w:rPr>
          <w:rFonts w:ascii="Times New Roman" w:hAnsi="Times New Roman"/>
          <w:bCs/>
        </w:rPr>
        <w:t xml:space="preserve"> </w:t>
      </w:r>
      <w:proofErr w:type="spellStart"/>
      <w:r>
        <w:rPr>
          <w:rFonts w:ascii="Times New Roman" w:hAnsi="Times New Roman"/>
          <w:bCs/>
        </w:rPr>
        <w:t>of</w:t>
      </w:r>
      <w:proofErr w:type="spellEnd"/>
      <w:r>
        <w:rPr>
          <w:rFonts w:ascii="Times New Roman" w:hAnsi="Times New Roman"/>
          <w:bCs/>
        </w:rPr>
        <w:t xml:space="preserve"> Texas, Bellona og CCSA. Denne gangen var det flere "side-</w:t>
      </w:r>
      <w:proofErr w:type="spellStart"/>
      <w:r>
        <w:rPr>
          <w:rFonts w:ascii="Times New Roman" w:hAnsi="Times New Roman"/>
          <w:bCs/>
        </w:rPr>
        <w:t>events</w:t>
      </w:r>
      <w:proofErr w:type="spellEnd"/>
      <w:r>
        <w:rPr>
          <w:rFonts w:ascii="Times New Roman" w:hAnsi="Times New Roman"/>
          <w:bCs/>
        </w:rPr>
        <w:t xml:space="preserve">" på </w:t>
      </w:r>
      <w:r w:rsidR="00852D46">
        <w:rPr>
          <w:rFonts w:ascii="Times New Roman" w:hAnsi="Times New Roman"/>
          <w:bCs/>
        </w:rPr>
        <w:t>CO</w:t>
      </w:r>
      <w:r w:rsidR="00852D46">
        <w:rPr>
          <w:rFonts w:ascii="Times New Roman" w:hAnsi="Times New Roman"/>
          <w:bCs/>
          <w:vertAlign w:val="subscript"/>
        </w:rPr>
        <w:t>2</w:t>
      </w:r>
      <w:r w:rsidR="00852D46">
        <w:rPr>
          <w:rFonts w:ascii="Times New Roman" w:hAnsi="Times New Roman"/>
          <w:bCs/>
        </w:rPr>
        <w:softHyphen/>
        <w:t>-</w:t>
      </w:r>
      <w:r>
        <w:rPr>
          <w:rFonts w:ascii="Times New Roman" w:hAnsi="Times New Roman"/>
          <w:bCs/>
        </w:rPr>
        <w:t>håndtering, noe som er svært positivt.</w:t>
      </w:r>
    </w:p>
    <w:p w14:paraId="08940CAF" w14:textId="77777777" w:rsidR="00546222" w:rsidRDefault="00546222" w:rsidP="00A940B3">
      <w:pPr>
        <w:autoSpaceDE w:val="0"/>
        <w:autoSpaceDN w:val="0"/>
        <w:rPr>
          <w:rFonts w:ascii="Times New Roman" w:hAnsi="Times New Roman"/>
          <w:bCs/>
        </w:rPr>
      </w:pPr>
    </w:p>
    <w:p w14:paraId="32B74694" w14:textId="77777777" w:rsidR="00546222" w:rsidRPr="00A940B3" w:rsidRDefault="00546222" w:rsidP="00A940B3">
      <w:pPr>
        <w:autoSpaceDE w:val="0"/>
        <w:autoSpaceDN w:val="0"/>
        <w:rPr>
          <w:rFonts w:ascii="Times New Roman" w:hAnsi="Times New Roman"/>
          <w:bCs/>
        </w:rPr>
      </w:pPr>
      <w:r>
        <w:rPr>
          <w:rFonts w:ascii="Times New Roman" w:hAnsi="Times New Roman"/>
          <w:bCs/>
        </w:rPr>
        <w:t xml:space="preserve">Tim Dixon og Jasmine </w:t>
      </w:r>
      <w:proofErr w:type="spellStart"/>
      <w:r>
        <w:rPr>
          <w:rFonts w:ascii="Times New Roman" w:hAnsi="Times New Roman"/>
          <w:bCs/>
        </w:rPr>
        <w:t>Kemper</w:t>
      </w:r>
      <w:proofErr w:type="spellEnd"/>
      <w:r>
        <w:rPr>
          <w:rFonts w:ascii="Times New Roman" w:hAnsi="Times New Roman"/>
          <w:bCs/>
        </w:rPr>
        <w:t xml:space="preserve"> </w:t>
      </w:r>
      <w:r w:rsidR="00A30D7D">
        <w:rPr>
          <w:rFonts w:ascii="Times New Roman" w:hAnsi="Times New Roman"/>
          <w:bCs/>
        </w:rPr>
        <w:t xml:space="preserve">fra IEAGHG </w:t>
      </w:r>
      <w:r>
        <w:rPr>
          <w:rFonts w:ascii="Times New Roman" w:hAnsi="Times New Roman"/>
          <w:bCs/>
        </w:rPr>
        <w:t xml:space="preserve">er eksperter og gir innspill på IPCC Special </w:t>
      </w:r>
      <w:proofErr w:type="gramStart"/>
      <w:r>
        <w:rPr>
          <w:rFonts w:ascii="Times New Roman" w:hAnsi="Times New Roman"/>
          <w:bCs/>
        </w:rPr>
        <w:t>Report  angående</w:t>
      </w:r>
      <w:proofErr w:type="gramEnd"/>
      <w:r>
        <w:rPr>
          <w:rFonts w:ascii="Times New Roman" w:hAnsi="Times New Roman"/>
          <w:bCs/>
        </w:rPr>
        <w:t xml:space="preserve"> teknisk informasjon på CO</w:t>
      </w:r>
      <w:r w:rsidRPr="00BD3A31">
        <w:rPr>
          <w:rFonts w:ascii="Times New Roman" w:hAnsi="Times New Roman"/>
          <w:bCs/>
          <w:vertAlign w:val="subscript"/>
        </w:rPr>
        <w:t>2</w:t>
      </w:r>
      <w:r w:rsidR="00852D46">
        <w:rPr>
          <w:rFonts w:ascii="Times New Roman" w:hAnsi="Times New Roman"/>
          <w:bCs/>
        </w:rPr>
        <w:softHyphen/>
        <w:t>-</w:t>
      </w:r>
      <w:r>
        <w:rPr>
          <w:rFonts w:ascii="Times New Roman" w:hAnsi="Times New Roman"/>
          <w:bCs/>
        </w:rPr>
        <w:t>håndtering. Dette er en vik</w:t>
      </w:r>
      <w:r w:rsidR="005B4FB0">
        <w:rPr>
          <w:rFonts w:ascii="Times New Roman" w:hAnsi="Times New Roman"/>
          <w:bCs/>
        </w:rPr>
        <w:t>tig jobb som bidrar til retting av feil informasjon om CO</w:t>
      </w:r>
      <w:r w:rsidR="005B4FB0" w:rsidRPr="00BD3A31">
        <w:rPr>
          <w:rFonts w:ascii="Times New Roman" w:hAnsi="Times New Roman"/>
          <w:bCs/>
          <w:vertAlign w:val="subscript"/>
        </w:rPr>
        <w:t>2</w:t>
      </w:r>
      <w:r w:rsidR="00852D46">
        <w:rPr>
          <w:rFonts w:ascii="Times New Roman" w:hAnsi="Times New Roman"/>
          <w:bCs/>
        </w:rPr>
        <w:t>-</w:t>
      </w:r>
      <w:r w:rsidR="005B4FB0">
        <w:rPr>
          <w:rFonts w:ascii="Times New Roman" w:hAnsi="Times New Roman"/>
          <w:bCs/>
        </w:rPr>
        <w:t xml:space="preserve">håndtering. </w:t>
      </w:r>
      <w:r>
        <w:rPr>
          <w:rFonts w:ascii="Times New Roman" w:hAnsi="Times New Roman"/>
          <w:bCs/>
        </w:rPr>
        <w:t xml:space="preserve">IPCCS rapporten er forventet publisert i september 2018. </w:t>
      </w:r>
    </w:p>
    <w:p w14:paraId="3C1B6DAA" w14:textId="77777777" w:rsidR="00497ED5" w:rsidRPr="00A4244C" w:rsidRDefault="00497ED5" w:rsidP="00497ED5">
      <w:pPr>
        <w:autoSpaceDE w:val="0"/>
        <w:autoSpaceDN w:val="0"/>
        <w:rPr>
          <w:rFonts w:ascii="Times New Roman" w:hAnsi="Times New Roman"/>
          <w:b/>
          <w:bCs/>
        </w:rPr>
      </w:pPr>
    </w:p>
    <w:p w14:paraId="034ADAB1" w14:textId="77777777" w:rsidR="00497ED5" w:rsidRPr="00A4244C" w:rsidRDefault="009074EB" w:rsidP="00497ED5">
      <w:pPr>
        <w:autoSpaceDE w:val="0"/>
        <w:autoSpaceDN w:val="0"/>
        <w:rPr>
          <w:rFonts w:ascii="Times New Roman" w:hAnsi="Times New Roman"/>
          <w:b/>
          <w:bCs/>
        </w:rPr>
      </w:pPr>
      <w:r>
        <w:rPr>
          <w:rFonts w:ascii="Times New Roman" w:hAnsi="Times New Roman"/>
          <w:b/>
          <w:bCs/>
        </w:rPr>
        <w:t>IEAGHGT-14</w:t>
      </w:r>
    </w:p>
    <w:p w14:paraId="69B47A29" w14:textId="77777777" w:rsidR="00497ED5" w:rsidRDefault="009074EB" w:rsidP="00497ED5">
      <w:pPr>
        <w:autoSpaceDE w:val="0"/>
        <w:autoSpaceDN w:val="0"/>
        <w:rPr>
          <w:rFonts w:ascii="Times New Roman" w:hAnsi="Times New Roman"/>
          <w:bCs/>
        </w:rPr>
      </w:pPr>
      <w:r>
        <w:rPr>
          <w:rFonts w:ascii="Times New Roman" w:hAnsi="Times New Roman"/>
          <w:bCs/>
        </w:rPr>
        <w:t>Det jobbes har</w:t>
      </w:r>
      <w:r w:rsidR="007B5F99">
        <w:rPr>
          <w:rFonts w:ascii="Times New Roman" w:hAnsi="Times New Roman"/>
          <w:bCs/>
        </w:rPr>
        <w:t xml:space="preserve">dt med organisering av GHGT-14, </w:t>
      </w:r>
      <w:proofErr w:type="spellStart"/>
      <w:r w:rsidR="007B5F99">
        <w:rPr>
          <w:rFonts w:ascii="Times New Roman" w:hAnsi="Times New Roman"/>
          <w:bCs/>
        </w:rPr>
        <w:t>Melburne</w:t>
      </w:r>
      <w:proofErr w:type="spellEnd"/>
      <w:r w:rsidR="007B5F99">
        <w:rPr>
          <w:rFonts w:ascii="Times New Roman" w:hAnsi="Times New Roman"/>
          <w:bCs/>
        </w:rPr>
        <w:t xml:space="preserve"> i Australia. </w:t>
      </w:r>
      <w:r>
        <w:rPr>
          <w:rFonts w:ascii="Times New Roman" w:hAnsi="Times New Roman"/>
          <w:bCs/>
        </w:rPr>
        <w:t xml:space="preserve">Påmelding </w:t>
      </w:r>
      <w:r w:rsidR="007B5F99">
        <w:rPr>
          <w:rFonts w:ascii="Times New Roman" w:hAnsi="Times New Roman"/>
          <w:bCs/>
        </w:rPr>
        <w:t xml:space="preserve">innen 13. juni vil gi rabatert pris. Alle som har sendt inn </w:t>
      </w:r>
      <w:proofErr w:type="spellStart"/>
      <w:r w:rsidR="007B5F99">
        <w:rPr>
          <w:rFonts w:ascii="Times New Roman" w:hAnsi="Times New Roman"/>
          <w:bCs/>
        </w:rPr>
        <w:t>abstract</w:t>
      </w:r>
      <w:proofErr w:type="spellEnd"/>
      <w:r w:rsidR="007B5F99">
        <w:rPr>
          <w:rFonts w:ascii="Times New Roman" w:hAnsi="Times New Roman"/>
          <w:bCs/>
        </w:rPr>
        <w:t xml:space="preserve"> skal ha fått beskjed om status. Dersom det ikke er mottatt, ta kontakt med </w:t>
      </w:r>
      <w:r w:rsidR="007B5F99" w:rsidRPr="007B5F99">
        <w:rPr>
          <w:rFonts w:ascii="Times New Roman" w:hAnsi="Times New Roman"/>
          <w:bCs/>
        </w:rPr>
        <w:t xml:space="preserve">Suzanne </w:t>
      </w:r>
      <w:proofErr w:type="spellStart"/>
      <w:r w:rsidR="007B5F99" w:rsidRPr="007B5F99">
        <w:rPr>
          <w:rFonts w:ascii="Times New Roman" w:hAnsi="Times New Roman"/>
          <w:bCs/>
        </w:rPr>
        <w:t>Kill</w:t>
      </w:r>
      <w:r w:rsidR="007B5F99">
        <w:rPr>
          <w:rFonts w:ascii="Times New Roman" w:hAnsi="Times New Roman"/>
          <w:bCs/>
        </w:rPr>
        <w:t>ick</w:t>
      </w:r>
      <w:proofErr w:type="spellEnd"/>
      <w:r w:rsidR="007B5F99">
        <w:rPr>
          <w:rFonts w:ascii="Times New Roman" w:hAnsi="Times New Roman"/>
          <w:bCs/>
        </w:rPr>
        <w:t xml:space="preserve">, </w:t>
      </w:r>
      <w:hyperlink r:id="rId11" w:history="1">
        <w:r w:rsidR="007B5F99" w:rsidRPr="00386259">
          <w:rPr>
            <w:rStyle w:val="Hyperkobling"/>
            <w:rFonts w:ascii="Times New Roman" w:hAnsi="Times New Roman"/>
          </w:rPr>
          <w:t>Suzanne.Killick@ieaghg.org</w:t>
        </w:r>
      </w:hyperlink>
      <w:r w:rsidR="007B5F99">
        <w:rPr>
          <w:rFonts w:ascii="Times New Roman" w:hAnsi="Times New Roman"/>
          <w:bCs/>
        </w:rPr>
        <w:t xml:space="preserve">. </w:t>
      </w:r>
    </w:p>
    <w:p w14:paraId="4BBF6A23" w14:textId="77777777" w:rsidR="00497ED5" w:rsidRDefault="00497ED5" w:rsidP="00497ED5">
      <w:pPr>
        <w:autoSpaceDE w:val="0"/>
        <w:autoSpaceDN w:val="0"/>
        <w:rPr>
          <w:rFonts w:ascii="Times New Roman" w:hAnsi="Times New Roman"/>
          <w:bCs/>
        </w:rPr>
      </w:pPr>
    </w:p>
    <w:p w14:paraId="09579922" w14:textId="77777777" w:rsidR="00497ED5" w:rsidRPr="00DE6626" w:rsidRDefault="00497ED5" w:rsidP="00497ED5">
      <w:pPr>
        <w:autoSpaceDE w:val="0"/>
        <w:autoSpaceDN w:val="0"/>
        <w:rPr>
          <w:rFonts w:ascii="Times New Roman" w:hAnsi="Times New Roman"/>
          <w:b/>
          <w:bCs/>
        </w:rPr>
      </w:pPr>
      <w:proofErr w:type="spellStart"/>
      <w:r w:rsidRPr="00DE6626">
        <w:rPr>
          <w:rFonts w:ascii="Times New Roman" w:hAnsi="Times New Roman"/>
          <w:b/>
          <w:bCs/>
        </w:rPr>
        <w:t>Webinarer</w:t>
      </w:r>
      <w:proofErr w:type="spellEnd"/>
    </w:p>
    <w:p w14:paraId="009A6DB8" w14:textId="77777777" w:rsidR="00497ED5" w:rsidRPr="00A4244C" w:rsidRDefault="00E71FF2" w:rsidP="00497ED5">
      <w:pPr>
        <w:autoSpaceDE w:val="0"/>
        <w:autoSpaceDN w:val="0"/>
        <w:rPr>
          <w:rFonts w:ascii="Times New Roman" w:hAnsi="Times New Roman"/>
          <w:bCs/>
        </w:rPr>
      </w:pPr>
      <w:hyperlink r:id="rId12" w:history="1">
        <w:r w:rsidR="00497ED5" w:rsidRPr="00DE6626">
          <w:rPr>
            <w:rStyle w:val="Hyperkobling"/>
            <w:rFonts w:ascii="Times New Roman" w:hAnsi="Times New Roman"/>
          </w:rPr>
          <w:t>IEAGHG</w:t>
        </w:r>
      </w:hyperlink>
      <w:r w:rsidR="00497ED5">
        <w:rPr>
          <w:rFonts w:ascii="Times New Roman" w:hAnsi="Times New Roman"/>
          <w:bCs/>
        </w:rPr>
        <w:t xml:space="preserve"> </w:t>
      </w:r>
      <w:r w:rsidR="007B5F99">
        <w:rPr>
          <w:rFonts w:ascii="Times New Roman" w:hAnsi="Times New Roman"/>
          <w:bCs/>
        </w:rPr>
        <w:t>informerer</w:t>
      </w:r>
      <w:r w:rsidR="00497ED5">
        <w:rPr>
          <w:rFonts w:ascii="Times New Roman" w:hAnsi="Times New Roman"/>
          <w:bCs/>
        </w:rPr>
        <w:t xml:space="preserve"> om sine tekniske rapporter gjennom </w:t>
      </w:r>
      <w:proofErr w:type="spellStart"/>
      <w:r w:rsidR="00497ED5">
        <w:rPr>
          <w:rFonts w:ascii="Times New Roman" w:hAnsi="Times New Roman"/>
          <w:bCs/>
        </w:rPr>
        <w:t>Webinarer</w:t>
      </w:r>
      <w:proofErr w:type="spellEnd"/>
      <w:r w:rsidR="00497ED5">
        <w:rPr>
          <w:rFonts w:ascii="Times New Roman" w:hAnsi="Times New Roman"/>
          <w:bCs/>
        </w:rPr>
        <w:t xml:space="preserve">. Tilgang til gjennomførte </w:t>
      </w:r>
      <w:proofErr w:type="spellStart"/>
      <w:r w:rsidR="00497ED5">
        <w:rPr>
          <w:rFonts w:ascii="Times New Roman" w:hAnsi="Times New Roman"/>
          <w:bCs/>
        </w:rPr>
        <w:t>webinarer</w:t>
      </w:r>
      <w:proofErr w:type="spellEnd"/>
      <w:r w:rsidR="00497ED5">
        <w:rPr>
          <w:rFonts w:ascii="Times New Roman" w:hAnsi="Times New Roman"/>
          <w:bCs/>
        </w:rPr>
        <w:t xml:space="preserve"> finnes på nettsidene deres.</w:t>
      </w:r>
    </w:p>
    <w:p w14:paraId="3F6FE072" w14:textId="77777777" w:rsidR="00497ED5" w:rsidRPr="002C63D3" w:rsidRDefault="00497ED5" w:rsidP="00497ED5">
      <w:pPr>
        <w:autoSpaceDE w:val="0"/>
        <w:autoSpaceDN w:val="0"/>
        <w:spacing w:before="240" w:line="276" w:lineRule="auto"/>
        <w:rPr>
          <w:rFonts w:ascii="Times New Roman" w:hAnsi="Times New Roman"/>
          <w:b/>
        </w:rPr>
      </w:pPr>
      <w:r w:rsidRPr="002C63D3">
        <w:rPr>
          <w:rFonts w:ascii="Times New Roman" w:hAnsi="Times New Roman"/>
          <w:b/>
        </w:rPr>
        <w:t>Tekniske rapporter</w:t>
      </w:r>
    </w:p>
    <w:p w14:paraId="42023C86" w14:textId="77777777" w:rsidR="00497ED5" w:rsidRDefault="00497ED5" w:rsidP="00497ED5">
      <w:pPr>
        <w:autoSpaceDE w:val="0"/>
        <w:autoSpaceDN w:val="0"/>
        <w:spacing w:line="276" w:lineRule="auto"/>
        <w:rPr>
          <w:rFonts w:ascii="Times New Roman" w:hAnsi="Times New Roman"/>
        </w:rPr>
      </w:pPr>
      <w:r w:rsidRPr="00A4244C">
        <w:rPr>
          <w:rFonts w:ascii="Times New Roman" w:hAnsi="Times New Roman"/>
        </w:rPr>
        <w:t xml:space="preserve">Rapporter som er blitt publisert siden </w:t>
      </w:r>
      <w:r w:rsidR="00EE2A18">
        <w:rPr>
          <w:rFonts w:ascii="Times New Roman" w:hAnsi="Times New Roman"/>
        </w:rPr>
        <w:t xml:space="preserve">siste IEAGHG </w:t>
      </w:r>
      <w:proofErr w:type="spellStart"/>
      <w:r w:rsidR="00EE2A18">
        <w:rPr>
          <w:rFonts w:ascii="Times New Roman" w:hAnsi="Times New Roman"/>
        </w:rPr>
        <w:t>ExCo</w:t>
      </w:r>
      <w:proofErr w:type="spellEnd"/>
      <w:r w:rsidRPr="00A4244C">
        <w:rPr>
          <w:rFonts w:ascii="Times New Roman" w:hAnsi="Times New Roman"/>
        </w:rPr>
        <w:t xml:space="preserve"> og </w:t>
      </w:r>
      <w:r w:rsidR="00A92F15">
        <w:rPr>
          <w:rFonts w:ascii="Times New Roman" w:hAnsi="Times New Roman"/>
        </w:rPr>
        <w:t>planlagte rapporter</w:t>
      </w:r>
      <w:r w:rsidRPr="00A4244C">
        <w:rPr>
          <w:rFonts w:ascii="Times New Roman" w:hAnsi="Times New Roman"/>
        </w:rPr>
        <w:t xml:space="preserve">, er vist under.  Flere av disse ble rapportert og diskutert på møtet. </w:t>
      </w:r>
      <w:r w:rsidR="00C15E61">
        <w:rPr>
          <w:rFonts w:ascii="Times New Roman" w:hAnsi="Times New Roman"/>
        </w:rPr>
        <w:t xml:space="preserve">Med jevne mellomrom publiseres det også kort om nylig publiserte rapporter på climit.no. </w:t>
      </w:r>
      <w:r w:rsidRPr="00A4244C">
        <w:rPr>
          <w:rFonts w:ascii="Times New Roman" w:hAnsi="Times New Roman"/>
        </w:rPr>
        <w:t xml:space="preserve">Dersom dere er interessert i hele rapporten finner dere den på </w:t>
      </w:r>
      <w:hyperlink r:id="rId13" w:history="1">
        <w:r w:rsidRPr="00A4244C">
          <w:rPr>
            <w:rStyle w:val="Hyperkobling"/>
            <w:rFonts w:ascii="Times New Roman" w:hAnsi="Times New Roman"/>
          </w:rPr>
          <w:t>CLIMIT sine sider</w:t>
        </w:r>
      </w:hyperlink>
      <w:r w:rsidRPr="00A4244C">
        <w:rPr>
          <w:rFonts w:ascii="Times New Roman" w:hAnsi="Times New Roman"/>
        </w:rPr>
        <w:t xml:space="preserve">. IEAGHG gir også ut en rekke </w:t>
      </w:r>
      <w:hyperlink r:id="rId14" w:history="1">
        <w:r w:rsidRPr="00A4244C">
          <w:rPr>
            <w:rStyle w:val="Hyperkobling"/>
            <w:rFonts w:ascii="Times New Roman" w:hAnsi="Times New Roman"/>
          </w:rPr>
          <w:t>fakta-ark</w:t>
        </w:r>
      </w:hyperlink>
      <w:r w:rsidRPr="00A4244C">
        <w:rPr>
          <w:rFonts w:ascii="Times New Roman" w:hAnsi="Times New Roman"/>
        </w:rPr>
        <w:t xml:space="preserve"> innenfor en rekke tema, som kan være nyttige å ta en titt på.</w:t>
      </w:r>
    </w:p>
    <w:p w14:paraId="6AD8AE14" w14:textId="77777777" w:rsidR="006E366A" w:rsidRDefault="006E366A" w:rsidP="00497ED5">
      <w:pPr>
        <w:autoSpaceDE w:val="0"/>
        <w:autoSpaceDN w:val="0"/>
        <w:spacing w:line="276" w:lineRule="auto"/>
        <w:rPr>
          <w:rFonts w:ascii="Times New Roman" w:hAnsi="Times New Roman"/>
        </w:rPr>
      </w:pPr>
    </w:p>
    <w:p w14:paraId="159B2776" w14:textId="77777777" w:rsidR="006E366A" w:rsidRPr="006E366A" w:rsidRDefault="006E366A" w:rsidP="006E366A">
      <w:pPr>
        <w:autoSpaceDE w:val="0"/>
        <w:autoSpaceDN w:val="0"/>
        <w:spacing w:line="276" w:lineRule="auto"/>
        <w:rPr>
          <w:rFonts w:ascii="Times New Roman" w:hAnsi="Times New Roman"/>
        </w:rPr>
      </w:pPr>
      <w:r w:rsidRPr="006E366A">
        <w:rPr>
          <w:rFonts w:ascii="Times New Roman" w:hAnsi="Times New Roman"/>
        </w:rPr>
        <w:t xml:space="preserve">Flere av IEAGHG sine studier er et samarbeid med prosjekter med andre finansieringskilder. Det ble uttrykt ønske om at IEAGHG ikke ga støttebrev til prosjekter som søker finansiering da flere medlemmer i </w:t>
      </w:r>
      <w:proofErr w:type="spellStart"/>
      <w:r w:rsidRPr="006E366A">
        <w:rPr>
          <w:rFonts w:ascii="Times New Roman" w:hAnsi="Times New Roman"/>
        </w:rPr>
        <w:t>ExCo</w:t>
      </w:r>
      <w:proofErr w:type="spellEnd"/>
      <w:r w:rsidRPr="006E366A">
        <w:rPr>
          <w:rFonts w:ascii="Times New Roman" w:hAnsi="Times New Roman"/>
        </w:rPr>
        <w:t xml:space="preserve"> kan komme i en vanskelig situasjon </w:t>
      </w:r>
      <w:proofErr w:type="spellStart"/>
      <w:r w:rsidRPr="006E366A">
        <w:rPr>
          <w:rFonts w:ascii="Times New Roman" w:hAnsi="Times New Roman"/>
        </w:rPr>
        <w:t>pga</w:t>
      </w:r>
      <w:proofErr w:type="spellEnd"/>
      <w:r w:rsidRPr="006E366A">
        <w:rPr>
          <w:rFonts w:ascii="Times New Roman" w:hAnsi="Times New Roman"/>
        </w:rPr>
        <w:t xml:space="preserve"> roller på finansieringssiden.</w:t>
      </w:r>
    </w:p>
    <w:p w14:paraId="7C458672" w14:textId="77777777" w:rsidR="00497ED5" w:rsidRPr="00A4244C" w:rsidRDefault="00497ED5" w:rsidP="00497ED5">
      <w:pPr>
        <w:autoSpaceDE w:val="0"/>
        <w:autoSpaceDN w:val="0"/>
        <w:spacing w:line="276" w:lineRule="auto"/>
        <w:rPr>
          <w:rFonts w:ascii="Times New Roman" w:hAnsi="Times New Roman"/>
        </w:rPr>
      </w:pPr>
    </w:p>
    <w:tbl>
      <w:tblPr>
        <w:tblStyle w:val="Lyslisteuthevingsfarge1"/>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062"/>
        <w:gridCol w:w="2835"/>
        <w:gridCol w:w="1417"/>
      </w:tblGrid>
      <w:tr w:rsidR="00497ED5" w:rsidRPr="00A4244C" w14:paraId="22BA8961" w14:textId="77777777" w:rsidTr="00563C45">
        <w:trPr>
          <w:cnfStyle w:val="000000100000" w:firstRow="0" w:lastRow="0" w:firstColumn="0" w:lastColumn="0" w:oddVBand="0" w:evenVBand="0" w:oddHBand="1" w:evenHBand="0" w:firstRowFirstColumn="0" w:firstRowLastColumn="0" w:lastRowFirstColumn="0" w:lastRowLastColumn="0"/>
          <w:trHeight w:val="168"/>
        </w:trPr>
        <w:tc>
          <w:tcPr>
            <w:cnfStyle w:val="000010000000" w:firstRow="0" w:lastRow="0" w:firstColumn="0" w:lastColumn="0" w:oddVBand="1" w:evenVBand="0" w:oddHBand="0" w:evenHBand="0" w:firstRowFirstColumn="0" w:firstRowLastColumn="0" w:lastRowFirstColumn="0" w:lastRowLastColumn="0"/>
            <w:tcW w:w="6062" w:type="dxa"/>
            <w:tcBorders>
              <w:top w:val="none" w:sz="0" w:space="0" w:color="auto"/>
              <w:left w:val="none" w:sz="0" w:space="0" w:color="auto"/>
              <w:bottom w:val="none" w:sz="0" w:space="0" w:color="auto"/>
              <w:right w:val="none" w:sz="0" w:space="0" w:color="auto"/>
            </w:tcBorders>
            <w:shd w:val="clear" w:color="auto" w:fill="D2F2F7" w:themeFill="accent1" w:themeFillTint="33"/>
          </w:tcPr>
          <w:p w14:paraId="1243C68B" w14:textId="77777777" w:rsidR="00497ED5" w:rsidRPr="00A4244C" w:rsidRDefault="00497ED5" w:rsidP="00563C45">
            <w:pPr>
              <w:pStyle w:val="Default"/>
              <w:jc w:val="both"/>
              <w:rPr>
                <w:rFonts w:ascii="Times New Roman" w:hAnsi="Times New Roman" w:cs="Times New Roman"/>
                <w:b/>
                <w:sz w:val="22"/>
                <w:szCs w:val="22"/>
                <w:lang w:val="en-GB"/>
              </w:rPr>
            </w:pPr>
            <w:proofErr w:type="spellStart"/>
            <w:r w:rsidRPr="00A4244C">
              <w:rPr>
                <w:rFonts w:ascii="Times New Roman" w:hAnsi="Times New Roman" w:cs="Times New Roman"/>
                <w:b/>
                <w:sz w:val="22"/>
                <w:szCs w:val="22"/>
                <w:lang w:val="en-GB"/>
              </w:rPr>
              <w:t>Studie</w:t>
            </w:r>
            <w:proofErr w:type="spellEnd"/>
          </w:p>
        </w:tc>
        <w:tc>
          <w:tcPr>
            <w:tcW w:w="2835" w:type="dxa"/>
            <w:tcBorders>
              <w:top w:val="none" w:sz="0" w:space="0" w:color="auto"/>
              <w:bottom w:val="none" w:sz="0" w:space="0" w:color="auto"/>
            </w:tcBorders>
            <w:shd w:val="clear" w:color="auto" w:fill="D2F2F7" w:themeFill="accent1" w:themeFillTint="33"/>
          </w:tcPr>
          <w:p w14:paraId="4D24712D" w14:textId="77777777" w:rsidR="00497ED5" w:rsidRPr="00A4244C" w:rsidRDefault="00497ED5" w:rsidP="00563C45">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lang w:val="en-GB"/>
              </w:rPr>
            </w:pPr>
            <w:proofErr w:type="spellStart"/>
            <w:r w:rsidRPr="00A4244C">
              <w:rPr>
                <w:rFonts w:ascii="Times New Roman" w:hAnsi="Times New Roman" w:cs="Times New Roman"/>
                <w:b/>
                <w:sz w:val="22"/>
                <w:szCs w:val="22"/>
                <w:lang w:val="en-GB"/>
              </w:rPr>
              <w:t>Kontraktor</w:t>
            </w:r>
            <w:proofErr w:type="spellEnd"/>
          </w:p>
        </w:tc>
        <w:tc>
          <w:tcPr>
            <w:cnfStyle w:val="000010000000" w:firstRow="0" w:lastRow="0" w:firstColumn="0" w:lastColumn="0" w:oddVBand="1" w:evenVBand="0" w:oddHBand="0" w:evenHBand="0" w:firstRowFirstColumn="0" w:firstRowLastColumn="0" w:lastRowFirstColumn="0" w:lastRowLastColumn="0"/>
            <w:tcW w:w="1417" w:type="dxa"/>
            <w:tcBorders>
              <w:top w:val="none" w:sz="0" w:space="0" w:color="auto"/>
              <w:left w:val="none" w:sz="0" w:space="0" w:color="auto"/>
              <w:bottom w:val="none" w:sz="0" w:space="0" w:color="auto"/>
              <w:right w:val="none" w:sz="0" w:space="0" w:color="auto"/>
            </w:tcBorders>
            <w:shd w:val="clear" w:color="auto" w:fill="D2F2F7" w:themeFill="accent1" w:themeFillTint="33"/>
          </w:tcPr>
          <w:p w14:paraId="0A16AB69" w14:textId="77777777" w:rsidR="00497ED5" w:rsidRPr="00A4244C" w:rsidRDefault="00497ED5" w:rsidP="00563C45">
            <w:pPr>
              <w:pStyle w:val="Default"/>
              <w:jc w:val="both"/>
              <w:rPr>
                <w:rFonts w:ascii="Times New Roman" w:hAnsi="Times New Roman" w:cs="Times New Roman"/>
                <w:b/>
                <w:sz w:val="22"/>
                <w:szCs w:val="22"/>
                <w:lang w:val="en-GB"/>
              </w:rPr>
            </w:pPr>
            <w:r w:rsidRPr="00A4244C">
              <w:rPr>
                <w:rFonts w:ascii="Times New Roman" w:hAnsi="Times New Roman" w:cs="Times New Roman"/>
                <w:b/>
                <w:sz w:val="22"/>
                <w:szCs w:val="22"/>
                <w:lang w:val="en-GB"/>
              </w:rPr>
              <w:t>Rapport</w:t>
            </w:r>
          </w:p>
        </w:tc>
      </w:tr>
      <w:tr w:rsidR="00497ED5" w:rsidRPr="00BC0629" w14:paraId="4569D3AD" w14:textId="77777777" w:rsidTr="00563C45">
        <w:trPr>
          <w:trHeight w:val="168"/>
        </w:trPr>
        <w:tc>
          <w:tcPr>
            <w:cnfStyle w:val="000010000000" w:firstRow="0" w:lastRow="0" w:firstColumn="0" w:lastColumn="0" w:oddVBand="1" w:evenVBand="0" w:oddHBand="0" w:evenHBand="0" w:firstRowFirstColumn="0" w:firstRowLastColumn="0" w:lastRowFirstColumn="0" w:lastRowLastColumn="0"/>
            <w:tcW w:w="6062" w:type="dxa"/>
            <w:tcBorders>
              <w:left w:val="none" w:sz="0" w:space="0" w:color="auto"/>
              <w:right w:val="none" w:sz="0" w:space="0" w:color="auto"/>
            </w:tcBorders>
          </w:tcPr>
          <w:p w14:paraId="6935047C" w14:textId="77777777" w:rsidR="00497ED5" w:rsidRPr="00C15E61" w:rsidRDefault="00BC0629" w:rsidP="00BC0629">
            <w:pPr>
              <w:autoSpaceDE w:val="0"/>
              <w:autoSpaceDN w:val="0"/>
              <w:spacing w:line="276" w:lineRule="auto"/>
              <w:rPr>
                <w:rFonts w:ascii="Times New Roman" w:hAnsi="Times New Roman"/>
                <w:lang w:val="en-GB"/>
              </w:rPr>
            </w:pPr>
            <w:r w:rsidRPr="00C15E61">
              <w:rPr>
                <w:rFonts w:ascii="Times New Roman" w:hAnsi="Times New Roman"/>
                <w:lang w:val="en-GB"/>
              </w:rPr>
              <w:t xml:space="preserve">Valuing Flexibility in Power Plants </w:t>
            </w:r>
          </w:p>
        </w:tc>
        <w:tc>
          <w:tcPr>
            <w:tcW w:w="2835" w:type="dxa"/>
          </w:tcPr>
          <w:p w14:paraId="31F9F65E" w14:textId="77777777" w:rsidR="00497ED5" w:rsidRPr="00BC0629" w:rsidRDefault="00BC0629" w:rsidP="00BC0629">
            <w:pPr>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C0629">
              <w:rPr>
                <w:rFonts w:ascii="Times New Roman" w:hAnsi="Times New Roman"/>
              </w:rPr>
              <w:t xml:space="preserve">Imperial College London </w:t>
            </w:r>
          </w:p>
        </w:tc>
        <w:tc>
          <w:tcPr>
            <w:cnfStyle w:val="000010000000" w:firstRow="0" w:lastRow="0" w:firstColumn="0" w:lastColumn="0" w:oddVBand="1" w:evenVBand="0" w:oddHBand="0" w:evenHBand="0" w:firstRowFirstColumn="0" w:firstRowLastColumn="0" w:lastRowFirstColumn="0" w:lastRowLastColumn="0"/>
            <w:tcW w:w="1417" w:type="dxa"/>
            <w:tcBorders>
              <w:left w:val="none" w:sz="0" w:space="0" w:color="auto"/>
              <w:right w:val="none" w:sz="0" w:space="0" w:color="auto"/>
            </w:tcBorders>
          </w:tcPr>
          <w:p w14:paraId="5D6D4E83" w14:textId="77777777" w:rsidR="00497ED5" w:rsidRPr="00BC0629" w:rsidRDefault="00BC0629" w:rsidP="00BC0629">
            <w:pPr>
              <w:autoSpaceDE w:val="0"/>
              <w:autoSpaceDN w:val="0"/>
              <w:spacing w:line="276" w:lineRule="auto"/>
              <w:rPr>
                <w:rFonts w:ascii="Times New Roman" w:hAnsi="Times New Roman"/>
              </w:rPr>
            </w:pPr>
            <w:r w:rsidRPr="00BC0629">
              <w:rPr>
                <w:rFonts w:ascii="Times New Roman" w:hAnsi="Times New Roman"/>
              </w:rPr>
              <w:t xml:space="preserve">2017-09 </w:t>
            </w:r>
          </w:p>
        </w:tc>
      </w:tr>
      <w:tr w:rsidR="00497ED5" w:rsidRPr="00BC0629" w14:paraId="5A94C892" w14:textId="77777777" w:rsidTr="00563C45">
        <w:trPr>
          <w:cnfStyle w:val="000000100000" w:firstRow="0" w:lastRow="0" w:firstColumn="0" w:lastColumn="0" w:oddVBand="0" w:evenVBand="0" w:oddHBand="1" w:evenHBand="0" w:firstRowFirstColumn="0" w:firstRowLastColumn="0" w:lastRowFirstColumn="0" w:lastRowLastColumn="0"/>
          <w:trHeight w:val="168"/>
        </w:trPr>
        <w:tc>
          <w:tcPr>
            <w:cnfStyle w:val="000010000000" w:firstRow="0" w:lastRow="0" w:firstColumn="0" w:lastColumn="0" w:oddVBand="1" w:evenVBand="0" w:oddHBand="0" w:evenHBand="0" w:firstRowFirstColumn="0" w:firstRowLastColumn="0" w:lastRowFirstColumn="0" w:lastRowLastColumn="0"/>
            <w:tcW w:w="6062" w:type="dxa"/>
            <w:tcBorders>
              <w:top w:val="none" w:sz="0" w:space="0" w:color="auto"/>
              <w:left w:val="none" w:sz="0" w:space="0" w:color="auto"/>
              <w:bottom w:val="none" w:sz="0" w:space="0" w:color="auto"/>
              <w:right w:val="none" w:sz="0" w:space="0" w:color="auto"/>
            </w:tcBorders>
          </w:tcPr>
          <w:p w14:paraId="07EA76C2" w14:textId="77777777" w:rsidR="00497ED5" w:rsidRPr="00C15E61" w:rsidRDefault="00BC0629" w:rsidP="00BC0629">
            <w:pPr>
              <w:autoSpaceDE w:val="0"/>
              <w:autoSpaceDN w:val="0"/>
              <w:spacing w:line="276" w:lineRule="auto"/>
              <w:rPr>
                <w:rFonts w:ascii="Times New Roman" w:hAnsi="Times New Roman"/>
                <w:lang w:val="en-GB"/>
              </w:rPr>
            </w:pPr>
            <w:r w:rsidRPr="00C15E61">
              <w:rPr>
                <w:rFonts w:ascii="Times New Roman" w:hAnsi="Times New Roman"/>
                <w:lang w:val="en-GB"/>
              </w:rPr>
              <w:t xml:space="preserve">12th IEAGHG Monitoring Network Meeting </w:t>
            </w:r>
          </w:p>
        </w:tc>
        <w:tc>
          <w:tcPr>
            <w:tcW w:w="2835" w:type="dxa"/>
            <w:tcBorders>
              <w:top w:val="none" w:sz="0" w:space="0" w:color="auto"/>
              <w:bottom w:val="none" w:sz="0" w:space="0" w:color="auto"/>
            </w:tcBorders>
          </w:tcPr>
          <w:p w14:paraId="48DA9AF6" w14:textId="77777777" w:rsidR="00497ED5" w:rsidRPr="00BC0629" w:rsidRDefault="00BC0629" w:rsidP="00BC0629">
            <w:pPr>
              <w:autoSpaceDE w:val="0"/>
              <w:autoSpaceDN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C0629">
              <w:rPr>
                <w:rFonts w:ascii="Times New Roman" w:hAnsi="Times New Roman"/>
              </w:rPr>
              <w:t>N/A</w:t>
            </w:r>
          </w:p>
        </w:tc>
        <w:tc>
          <w:tcPr>
            <w:cnfStyle w:val="000010000000" w:firstRow="0" w:lastRow="0" w:firstColumn="0" w:lastColumn="0" w:oddVBand="1" w:evenVBand="0" w:oddHBand="0" w:evenHBand="0" w:firstRowFirstColumn="0" w:firstRowLastColumn="0" w:lastRowFirstColumn="0" w:lastRowLastColumn="0"/>
            <w:tcW w:w="1417" w:type="dxa"/>
            <w:tcBorders>
              <w:top w:val="none" w:sz="0" w:space="0" w:color="auto"/>
              <w:left w:val="none" w:sz="0" w:space="0" w:color="auto"/>
              <w:bottom w:val="none" w:sz="0" w:space="0" w:color="auto"/>
              <w:right w:val="none" w:sz="0" w:space="0" w:color="auto"/>
            </w:tcBorders>
          </w:tcPr>
          <w:p w14:paraId="0577A8D6" w14:textId="77777777" w:rsidR="00497ED5" w:rsidRPr="00BC0629" w:rsidRDefault="00BC0629" w:rsidP="00BC0629">
            <w:pPr>
              <w:autoSpaceDE w:val="0"/>
              <w:autoSpaceDN w:val="0"/>
              <w:spacing w:line="276" w:lineRule="auto"/>
              <w:rPr>
                <w:rFonts w:ascii="Times New Roman" w:hAnsi="Times New Roman"/>
              </w:rPr>
            </w:pPr>
            <w:r w:rsidRPr="00BC0629">
              <w:rPr>
                <w:rFonts w:ascii="Times New Roman" w:hAnsi="Times New Roman"/>
              </w:rPr>
              <w:t xml:space="preserve">2017-10 </w:t>
            </w:r>
          </w:p>
        </w:tc>
      </w:tr>
      <w:tr w:rsidR="00497ED5" w:rsidRPr="00BC0629" w14:paraId="5A6D388A" w14:textId="77777777" w:rsidTr="00563C45">
        <w:trPr>
          <w:trHeight w:val="168"/>
        </w:trPr>
        <w:tc>
          <w:tcPr>
            <w:cnfStyle w:val="000010000000" w:firstRow="0" w:lastRow="0" w:firstColumn="0" w:lastColumn="0" w:oddVBand="1" w:evenVBand="0" w:oddHBand="0" w:evenHBand="0" w:firstRowFirstColumn="0" w:firstRowLastColumn="0" w:lastRowFirstColumn="0" w:lastRowLastColumn="0"/>
            <w:tcW w:w="6062" w:type="dxa"/>
          </w:tcPr>
          <w:p w14:paraId="18DF7709" w14:textId="77777777" w:rsidR="00497ED5" w:rsidRPr="00C15E61" w:rsidRDefault="00BC0629" w:rsidP="00BC0629">
            <w:pPr>
              <w:autoSpaceDE w:val="0"/>
              <w:autoSpaceDN w:val="0"/>
              <w:spacing w:line="276" w:lineRule="auto"/>
              <w:rPr>
                <w:rFonts w:ascii="Times New Roman" w:hAnsi="Times New Roman"/>
                <w:lang w:val="en-GB"/>
              </w:rPr>
            </w:pPr>
            <w:r w:rsidRPr="00C15E61">
              <w:rPr>
                <w:rFonts w:ascii="Times New Roman" w:hAnsi="Times New Roman"/>
                <w:lang w:val="en-GB"/>
              </w:rPr>
              <w:t xml:space="preserve">2nd International Workshop on Offshore Geologic CO2 Storage </w:t>
            </w:r>
          </w:p>
        </w:tc>
        <w:tc>
          <w:tcPr>
            <w:tcW w:w="2835" w:type="dxa"/>
          </w:tcPr>
          <w:p w14:paraId="4FE6609F" w14:textId="77777777" w:rsidR="00497ED5" w:rsidRPr="00BC0629" w:rsidRDefault="00BC0629" w:rsidP="00BC0629">
            <w:pPr>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C0629">
              <w:rPr>
                <w:rFonts w:ascii="Times New Roman" w:hAnsi="Times New Roman"/>
              </w:rPr>
              <w:t>N/A</w:t>
            </w:r>
          </w:p>
        </w:tc>
        <w:tc>
          <w:tcPr>
            <w:cnfStyle w:val="000010000000" w:firstRow="0" w:lastRow="0" w:firstColumn="0" w:lastColumn="0" w:oddVBand="1" w:evenVBand="0" w:oddHBand="0" w:evenHBand="0" w:firstRowFirstColumn="0" w:firstRowLastColumn="0" w:lastRowFirstColumn="0" w:lastRowLastColumn="0"/>
            <w:tcW w:w="1417" w:type="dxa"/>
          </w:tcPr>
          <w:p w14:paraId="5415911F" w14:textId="77777777" w:rsidR="00497ED5" w:rsidRPr="00BC0629" w:rsidRDefault="00BC0629" w:rsidP="00BC0629">
            <w:pPr>
              <w:autoSpaceDE w:val="0"/>
              <w:autoSpaceDN w:val="0"/>
              <w:spacing w:line="276" w:lineRule="auto"/>
              <w:rPr>
                <w:rFonts w:ascii="Times New Roman" w:hAnsi="Times New Roman"/>
              </w:rPr>
            </w:pPr>
            <w:r w:rsidRPr="00BC0629">
              <w:rPr>
                <w:rFonts w:ascii="Times New Roman" w:hAnsi="Times New Roman"/>
              </w:rPr>
              <w:t xml:space="preserve">2017-TR12 </w:t>
            </w:r>
          </w:p>
        </w:tc>
      </w:tr>
      <w:tr w:rsidR="00497ED5" w:rsidRPr="00BC0629" w14:paraId="2CBF6D2E" w14:textId="77777777" w:rsidTr="00D73B9C">
        <w:trPr>
          <w:cnfStyle w:val="000000100000" w:firstRow="0" w:lastRow="0" w:firstColumn="0" w:lastColumn="0" w:oddVBand="0" w:evenVBand="0" w:oddHBand="1" w:evenHBand="0" w:firstRowFirstColumn="0" w:firstRowLastColumn="0" w:lastRowFirstColumn="0" w:lastRowLastColumn="0"/>
          <w:trHeight w:val="168"/>
        </w:trPr>
        <w:tc>
          <w:tcPr>
            <w:cnfStyle w:val="000010000000" w:firstRow="0" w:lastRow="0" w:firstColumn="0" w:lastColumn="0" w:oddVBand="1" w:evenVBand="0" w:oddHBand="0" w:evenHBand="0" w:firstRowFirstColumn="0" w:firstRowLastColumn="0" w:lastRowFirstColumn="0" w:lastRowLastColumn="0"/>
            <w:tcW w:w="6062" w:type="dxa"/>
            <w:tcBorders>
              <w:top w:val="single" w:sz="8" w:space="0" w:color="auto"/>
              <w:bottom w:val="single" w:sz="8" w:space="0" w:color="auto"/>
            </w:tcBorders>
          </w:tcPr>
          <w:p w14:paraId="2B1EDDA7" w14:textId="77777777" w:rsidR="00497ED5" w:rsidRPr="00BC0629" w:rsidRDefault="00BC0629" w:rsidP="00BC0629">
            <w:pPr>
              <w:autoSpaceDE w:val="0"/>
              <w:autoSpaceDN w:val="0"/>
              <w:spacing w:line="276" w:lineRule="auto"/>
              <w:rPr>
                <w:rFonts w:ascii="Times New Roman" w:hAnsi="Times New Roman"/>
              </w:rPr>
            </w:pPr>
            <w:r w:rsidRPr="00BC0629">
              <w:rPr>
                <w:rFonts w:ascii="Times New Roman" w:hAnsi="Times New Roman"/>
              </w:rPr>
              <w:t xml:space="preserve">Public </w:t>
            </w:r>
            <w:proofErr w:type="spellStart"/>
            <w:r w:rsidRPr="00BC0629">
              <w:rPr>
                <w:rFonts w:ascii="Times New Roman" w:hAnsi="Times New Roman"/>
              </w:rPr>
              <w:t>Perception</w:t>
            </w:r>
            <w:proofErr w:type="spellEnd"/>
            <w:r w:rsidRPr="00BC0629">
              <w:rPr>
                <w:rFonts w:ascii="Times New Roman" w:hAnsi="Times New Roman"/>
              </w:rPr>
              <w:t xml:space="preserve"> </w:t>
            </w:r>
            <w:proofErr w:type="spellStart"/>
            <w:r w:rsidRPr="00BC0629">
              <w:rPr>
                <w:rFonts w:ascii="Times New Roman" w:hAnsi="Times New Roman"/>
              </w:rPr>
              <w:t>of</w:t>
            </w:r>
            <w:proofErr w:type="spellEnd"/>
            <w:r w:rsidRPr="00BC0629">
              <w:rPr>
                <w:rFonts w:ascii="Times New Roman" w:hAnsi="Times New Roman"/>
              </w:rPr>
              <w:t xml:space="preserve"> Pipelines </w:t>
            </w:r>
          </w:p>
        </w:tc>
        <w:tc>
          <w:tcPr>
            <w:tcW w:w="2835" w:type="dxa"/>
            <w:tcBorders>
              <w:top w:val="single" w:sz="8" w:space="0" w:color="auto"/>
              <w:bottom w:val="single" w:sz="8" w:space="0" w:color="auto"/>
            </w:tcBorders>
          </w:tcPr>
          <w:p w14:paraId="5A2A0923" w14:textId="77777777" w:rsidR="00497ED5" w:rsidRPr="00BC0629" w:rsidRDefault="00BC0629" w:rsidP="00BC0629">
            <w:pPr>
              <w:autoSpaceDE w:val="0"/>
              <w:autoSpaceDN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N/A</w:t>
            </w:r>
          </w:p>
        </w:tc>
        <w:tc>
          <w:tcPr>
            <w:cnfStyle w:val="000010000000" w:firstRow="0" w:lastRow="0" w:firstColumn="0" w:lastColumn="0" w:oddVBand="1" w:evenVBand="0" w:oddHBand="0" w:evenHBand="0" w:firstRowFirstColumn="0" w:firstRowLastColumn="0" w:lastRowFirstColumn="0" w:lastRowLastColumn="0"/>
            <w:tcW w:w="1417" w:type="dxa"/>
            <w:tcBorders>
              <w:top w:val="single" w:sz="8" w:space="0" w:color="auto"/>
              <w:bottom w:val="single" w:sz="8" w:space="0" w:color="auto"/>
            </w:tcBorders>
          </w:tcPr>
          <w:p w14:paraId="19AD69C5" w14:textId="77777777" w:rsidR="00497ED5" w:rsidRPr="00BC0629" w:rsidRDefault="00BC0629" w:rsidP="00BC0629">
            <w:pPr>
              <w:autoSpaceDE w:val="0"/>
              <w:autoSpaceDN w:val="0"/>
              <w:spacing w:line="276" w:lineRule="auto"/>
              <w:rPr>
                <w:rFonts w:ascii="Times New Roman" w:hAnsi="Times New Roman"/>
              </w:rPr>
            </w:pPr>
            <w:r>
              <w:rPr>
                <w:rFonts w:ascii="Times New Roman" w:hAnsi="Times New Roman"/>
              </w:rPr>
              <w:t>2017-TR9</w:t>
            </w:r>
          </w:p>
        </w:tc>
      </w:tr>
      <w:tr w:rsidR="00497ED5" w:rsidRPr="00BC0629" w14:paraId="31307337" w14:textId="77777777" w:rsidTr="00563C45">
        <w:trPr>
          <w:trHeight w:val="168"/>
        </w:trPr>
        <w:tc>
          <w:tcPr>
            <w:cnfStyle w:val="000010000000" w:firstRow="0" w:lastRow="0" w:firstColumn="0" w:lastColumn="0" w:oddVBand="1" w:evenVBand="0" w:oddHBand="0" w:evenHBand="0" w:firstRowFirstColumn="0" w:firstRowLastColumn="0" w:lastRowFirstColumn="0" w:lastRowLastColumn="0"/>
            <w:tcW w:w="6062" w:type="dxa"/>
          </w:tcPr>
          <w:p w14:paraId="46CC438B" w14:textId="77777777" w:rsidR="00497ED5" w:rsidRPr="00BC0629" w:rsidRDefault="00BC0629" w:rsidP="00BC0629">
            <w:pPr>
              <w:autoSpaceDE w:val="0"/>
              <w:autoSpaceDN w:val="0"/>
              <w:spacing w:line="276" w:lineRule="auto"/>
              <w:rPr>
                <w:rFonts w:ascii="Times New Roman" w:hAnsi="Times New Roman"/>
              </w:rPr>
            </w:pPr>
            <w:proofErr w:type="spellStart"/>
            <w:r w:rsidRPr="00BC0629">
              <w:rPr>
                <w:rFonts w:ascii="Times New Roman" w:hAnsi="Times New Roman"/>
              </w:rPr>
              <w:t>Enabling</w:t>
            </w:r>
            <w:proofErr w:type="spellEnd"/>
            <w:r w:rsidRPr="00BC0629">
              <w:rPr>
                <w:rFonts w:ascii="Times New Roman" w:hAnsi="Times New Roman"/>
              </w:rPr>
              <w:t xml:space="preserve"> CCS Clusters </w:t>
            </w:r>
          </w:p>
        </w:tc>
        <w:tc>
          <w:tcPr>
            <w:tcW w:w="2835" w:type="dxa"/>
          </w:tcPr>
          <w:p w14:paraId="2548106D" w14:textId="77777777" w:rsidR="00497ED5" w:rsidRPr="00BC0629" w:rsidRDefault="00BC0629" w:rsidP="00BC0629">
            <w:pPr>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Element Energy</w:t>
            </w:r>
          </w:p>
        </w:tc>
        <w:tc>
          <w:tcPr>
            <w:cnfStyle w:val="000010000000" w:firstRow="0" w:lastRow="0" w:firstColumn="0" w:lastColumn="0" w:oddVBand="1" w:evenVBand="0" w:oddHBand="0" w:evenHBand="0" w:firstRowFirstColumn="0" w:firstRowLastColumn="0" w:lastRowFirstColumn="0" w:lastRowLastColumn="0"/>
            <w:tcW w:w="1417" w:type="dxa"/>
          </w:tcPr>
          <w:p w14:paraId="58AAF2C6" w14:textId="77777777" w:rsidR="00497ED5" w:rsidRPr="00BC0629" w:rsidRDefault="00BC0629" w:rsidP="00BC0629">
            <w:pPr>
              <w:autoSpaceDE w:val="0"/>
              <w:autoSpaceDN w:val="0"/>
              <w:spacing w:line="276" w:lineRule="auto"/>
              <w:rPr>
                <w:rFonts w:ascii="Times New Roman" w:hAnsi="Times New Roman"/>
              </w:rPr>
            </w:pPr>
            <w:r>
              <w:rPr>
                <w:rFonts w:ascii="Times New Roman" w:hAnsi="Times New Roman"/>
              </w:rPr>
              <w:t>2018-01</w:t>
            </w:r>
          </w:p>
        </w:tc>
      </w:tr>
      <w:tr w:rsidR="00497ED5" w:rsidRPr="00A92F15" w14:paraId="49DE8481" w14:textId="77777777" w:rsidTr="00A940B3">
        <w:trPr>
          <w:cnfStyle w:val="000000100000" w:firstRow="0" w:lastRow="0" w:firstColumn="0" w:lastColumn="0" w:oddVBand="0" w:evenVBand="0" w:oddHBand="1" w:evenHBand="0" w:firstRowFirstColumn="0" w:firstRowLastColumn="0" w:lastRowFirstColumn="0" w:lastRowLastColumn="0"/>
          <w:trHeight w:val="168"/>
        </w:trPr>
        <w:tc>
          <w:tcPr>
            <w:cnfStyle w:val="000010000000" w:firstRow="0" w:lastRow="0" w:firstColumn="0" w:lastColumn="0" w:oddVBand="1" w:evenVBand="0" w:oddHBand="0" w:evenHBand="0" w:firstRowFirstColumn="0" w:firstRowLastColumn="0" w:lastRowFirstColumn="0" w:lastRowLastColumn="0"/>
            <w:tcW w:w="6062" w:type="dxa"/>
            <w:tcBorders>
              <w:top w:val="single" w:sz="8" w:space="0" w:color="auto"/>
              <w:bottom w:val="single" w:sz="8" w:space="0" w:color="auto"/>
            </w:tcBorders>
          </w:tcPr>
          <w:p w14:paraId="2AC0E44A" w14:textId="77777777" w:rsidR="00497ED5" w:rsidRPr="00C15E61" w:rsidRDefault="00BC0629" w:rsidP="00BC0629">
            <w:pPr>
              <w:autoSpaceDE w:val="0"/>
              <w:autoSpaceDN w:val="0"/>
              <w:spacing w:line="276" w:lineRule="auto"/>
              <w:rPr>
                <w:rFonts w:ascii="Times New Roman" w:hAnsi="Times New Roman"/>
                <w:lang w:val="en-GB"/>
              </w:rPr>
            </w:pPr>
            <w:r w:rsidRPr="00C15E61">
              <w:rPr>
                <w:rFonts w:ascii="Times New Roman" w:hAnsi="Times New Roman"/>
                <w:lang w:val="en-GB"/>
              </w:rPr>
              <w:t xml:space="preserve">CO2 Storage Efficiency in Deep Saline Formations - Stage 2 </w:t>
            </w:r>
          </w:p>
        </w:tc>
        <w:tc>
          <w:tcPr>
            <w:tcW w:w="2835" w:type="dxa"/>
            <w:tcBorders>
              <w:top w:val="single" w:sz="8" w:space="0" w:color="auto"/>
              <w:bottom w:val="single" w:sz="8" w:space="0" w:color="auto"/>
            </w:tcBorders>
          </w:tcPr>
          <w:p w14:paraId="4502C685" w14:textId="77777777" w:rsidR="00497ED5" w:rsidRPr="00BC0629" w:rsidRDefault="00BC0629" w:rsidP="00BC0629">
            <w:pPr>
              <w:autoSpaceDE w:val="0"/>
              <w:autoSpaceDN w:val="0"/>
              <w:spacing w:line="276" w:lineRule="auto"/>
              <w:cnfStyle w:val="000000100000" w:firstRow="0" w:lastRow="0" w:firstColumn="0" w:lastColumn="0" w:oddVBand="0" w:evenVBand="0" w:oddHBand="1" w:evenHBand="0" w:firstRowFirstColumn="0" w:firstRowLastColumn="0" w:lastRowFirstColumn="0" w:lastRowLastColumn="0"/>
              <w:rPr>
                <w:rFonts w:ascii="Myriad Pro" w:hAnsi="Myriad Pro"/>
                <w:lang w:val="en-GB"/>
              </w:rPr>
            </w:pPr>
            <w:r w:rsidRPr="00BC0629">
              <w:rPr>
                <w:rFonts w:ascii="Times New Roman" w:hAnsi="Times New Roman"/>
                <w:lang w:val="en-GB"/>
              </w:rPr>
              <w:t xml:space="preserve">Energy &amp; Environmental Research </w:t>
            </w:r>
            <w:proofErr w:type="spellStart"/>
            <w:r w:rsidRPr="00BC0629">
              <w:rPr>
                <w:rFonts w:ascii="Times New Roman" w:hAnsi="Times New Roman"/>
                <w:lang w:val="en-GB"/>
              </w:rPr>
              <w:t>Center</w:t>
            </w:r>
            <w:proofErr w:type="spellEnd"/>
            <w:r w:rsidRPr="00BC0629">
              <w:rPr>
                <w:rFonts w:ascii="Times New Roman" w:hAnsi="Times New Roman"/>
                <w:lang w:val="en-GB"/>
              </w:rPr>
              <w:t xml:space="preserve"> / University of North Dakota</w:t>
            </w:r>
            <w:r w:rsidRPr="00BC0629">
              <w:rPr>
                <w:lang w:val="en-GB"/>
              </w:rPr>
              <w:t xml:space="preserve"> </w:t>
            </w:r>
          </w:p>
        </w:tc>
        <w:tc>
          <w:tcPr>
            <w:cnfStyle w:val="000010000000" w:firstRow="0" w:lastRow="0" w:firstColumn="0" w:lastColumn="0" w:oddVBand="1" w:evenVBand="0" w:oddHBand="0" w:evenHBand="0" w:firstRowFirstColumn="0" w:firstRowLastColumn="0" w:lastRowFirstColumn="0" w:lastRowLastColumn="0"/>
            <w:tcW w:w="1417" w:type="dxa"/>
            <w:tcBorders>
              <w:top w:val="single" w:sz="8" w:space="0" w:color="auto"/>
              <w:bottom w:val="single" w:sz="8" w:space="0" w:color="auto"/>
            </w:tcBorders>
          </w:tcPr>
          <w:p w14:paraId="1686BBC7" w14:textId="77777777" w:rsidR="00497ED5" w:rsidRPr="00BC0629" w:rsidRDefault="00BC0629" w:rsidP="00BC0629">
            <w:pPr>
              <w:autoSpaceDE w:val="0"/>
              <w:autoSpaceDN w:val="0"/>
              <w:spacing w:line="276" w:lineRule="auto"/>
              <w:rPr>
                <w:rFonts w:ascii="Times New Roman" w:hAnsi="Times New Roman"/>
                <w:lang w:val="en-GB"/>
              </w:rPr>
            </w:pPr>
            <w:r>
              <w:rPr>
                <w:rFonts w:ascii="Times New Roman" w:hAnsi="Times New Roman"/>
                <w:lang w:val="en-GB"/>
              </w:rPr>
              <w:t>2018-02</w:t>
            </w:r>
          </w:p>
        </w:tc>
      </w:tr>
      <w:tr w:rsidR="00497ED5" w:rsidRPr="00A92F15" w14:paraId="530071F7" w14:textId="77777777" w:rsidTr="00A940B3">
        <w:trPr>
          <w:trHeight w:val="168"/>
        </w:trPr>
        <w:tc>
          <w:tcPr>
            <w:cnfStyle w:val="000010000000" w:firstRow="0" w:lastRow="0" w:firstColumn="0" w:lastColumn="0" w:oddVBand="1" w:evenVBand="0" w:oddHBand="0" w:evenHBand="0" w:firstRowFirstColumn="0" w:firstRowLastColumn="0" w:lastRowFirstColumn="0" w:lastRowLastColumn="0"/>
            <w:tcW w:w="6062" w:type="dxa"/>
            <w:tcBorders>
              <w:bottom w:val="single" w:sz="4" w:space="0" w:color="auto"/>
            </w:tcBorders>
          </w:tcPr>
          <w:p w14:paraId="788E2014" w14:textId="77777777" w:rsidR="00497ED5" w:rsidRPr="00BC0629" w:rsidRDefault="00BC0629" w:rsidP="00BC0629">
            <w:pPr>
              <w:autoSpaceDE w:val="0"/>
              <w:autoSpaceDN w:val="0"/>
              <w:spacing w:line="276" w:lineRule="auto"/>
              <w:rPr>
                <w:rFonts w:ascii="Times New Roman" w:hAnsi="Times New Roman"/>
                <w:lang w:val="en-GB"/>
              </w:rPr>
            </w:pPr>
            <w:r w:rsidRPr="00BC0629">
              <w:rPr>
                <w:rFonts w:ascii="Times New Roman" w:hAnsi="Times New Roman"/>
                <w:lang w:val="en-GB"/>
              </w:rPr>
              <w:t xml:space="preserve">Greenhouse Gas Emissions Accounting for Carbon Dioxide Capture and Utilisation (CCU) Technologies - Characterising CCU technologies, policy support, regulation and emissions accounting </w:t>
            </w:r>
          </w:p>
        </w:tc>
        <w:tc>
          <w:tcPr>
            <w:tcW w:w="2835" w:type="dxa"/>
            <w:tcBorders>
              <w:bottom w:val="single" w:sz="4" w:space="0" w:color="auto"/>
            </w:tcBorders>
          </w:tcPr>
          <w:p w14:paraId="7F718996" w14:textId="77777777" w:rsidR="00497ED5" w:rsidRPr="00BC0629" w:rsidRDefault="00BC0629" w:rsidP="00BC0629">
            <w:pPr>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Pr>
                <w:rFonts w:ascii="Times New Roman" w:hAnsi="Times New Roman"/>
                <w:lang w:val="en-GB"/>
              </w:rPr>
              <w:t>Carbon Counts</w:t>
            </w:r>
          </w:p>
        </w:tc>
        <w:tc>
          <w:tcPr>
            <w:cnfStyle w:val="000010000000" w:firstRow="0" w:lastRow="0" w:firstColumn="0" w:lastColumn="0" w:oddVBand="1" w:evenVBand="0" w:oddHBand="0" w:evenHBand="0" w:firstRowFirstColumn="0" w:firstRowLastColumn="0" w:lastRowFirstColumn="0" w:lastRowLastColumn="0"/>
            <w:tcW w:w="1417" w:type="dxa"/>
            <w:tcBorders>
              <w:bottom w:val="single" w:sz="4" w:space="0" w:color="auto"/>
            </w:tcBorders>
          </w:tcPr>
          <w:p w14:paraId="41B8361B" w14:textId="77777777" w:rsidR="00497ED5" w:rsidRPr="00BC0629" w:rsidRDefault="00BC0629" w:rsidP="00BC0629">
            <w:pPr>
              <w:autoSpaceDE w:val="0"/>
              <w:autoSpaceDN w:val="0"/>
              <w:spacing w:line="276" w:lineRule="auto"/>
              <w:rPr>
                <w:rFonts w:ascii="Times New Roman" w:hAnsi="Times New Roman"/>
                <w:lang w:val="en-GB"/>
              </w:rPr>
            </w:pPr>
            <w:r>
              <w:rPr>
                <w:rFonts w:ascii="Times New Roman" w:hAnsi="Times New Roman"/>
                <w:lang w:val="en-GB"/>
              </w:rPr>
              <w:t>2018-TR01</w:t>
            </w:r>
          </w:p>
        </w:tc>
      </w:tr>
    </w:tbl>
    <w:p w14:paraId="5320E77F" w14:textId="77777777" w:rsidR="00497ED5" w:rsidRPr="00A4244C" w:rsidRDefault="00497ED5" w:rsidP="00497ED5">
      <w:pPr>
        <w:autoSpaceDE w:val="0"/>
        <w:autoSpaceDN w:val="0"/>
        <w:spacing w:before="240" w:line="276" w:lineRule="auto"/>
        <w:rPr>
          <w:rFonts w:ascii="Times New Roman" w:hAnsi="Times New Roman"/>
        </w:rPr>
      </w:pPr>
      <w:r w:rsidRPr="00A4244C">
        <w:rPr>
          <w:rFonts w:ascii="Times New Roman" w:hAnsi="Times New Roman"/>
        </w:rPr>
        <w:t xml:space="preserve">Følgende </w:t>
      </w:r>
      <w:r>
        <w:rPr>
          <w:rFonts w:ascii="Times New Roman" w:hAnsi="Times New Roman"/>
        </w:rPr>
        <w:t xml:space="preserve">studier er </w:t>
      </w:r>
      <w:proofErr w:type="spellStart"/>
      <w:r>
        <w:rPr>
          <w:rFonts w:ascii="Times New Roman" w:hAnsi="Times New Roman"/>
        </w:rPr>
        <w:t>under veis</w:t>
      </w:r>
      <w:proofErr w:type="spellEnd"/>
      <w:r>
        <w:rPr>
          <w:rFonts w:ascii="Times New Roman" w:hAnsi="Times New Roman"/>
        </w:rPr>
        <w:t xml:space="preserve"> og forventes å bli publisert fram til </w:t>
      </w:r>
      <w:r w:rsidR="00A92F15">
        <w:rPr>
          <w:rFonts w:ascii="Times New Roman" w:hAnsi="Times New Roman"/>
        </w:rPr>
        <w:t xml:space="preserve">neste møte i </w:t>
      </w:r>
      <w:proofErr w:type="spellStart"/>
      <w:r w:rsidR="00A92F15">
        <w:rPr>
          <w:rFonts w:ascii="Times New Roman" w:hAnsi="Times New Roman"/>
        </w:rPr>
        <w:t>Melborne</w:t>
      </w:r>
      <w:proofErr w:type="spellEnd"/>
      <w:r w:rsidR="00A92F15">
        <w:rPr>
          <w:rFonts w:ascii="Times New Roman" w:hAnsi="Times New Roman"/>
        </w:rPr>
        <w:t xml:space="preserve"> før GHGT-14.</w:t>
      </w:r>
    </w:p>
    <w:tbl>
      <w:tblPr>
        <w:tblStyle w:val="Lyslisteuthevingsfarge1"/>
        <w:tblW w:w="87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054"/>
        <w:gridCol w:w="1701"/>
      </w:tblGrid>
      <w:tr w:rsidR="00333BD6" w:rsidRPr="00A4244C" w14:paraId="54310823" w14:textId="77777777" w:rsidTr="00333BD6">
        <w:trPr>
          <w:cnfStyle w:val="000000100000" w:firstRow="0" w:lastRow="0" w:firstColumn="0" w:lastColumn="0" w:oddVBand="0" w:evenVBand="0" w:oddHBand="1" w:evenHBand="0" w:firstRowFirstColumn="0" w:firstRowLastColumn="0" w:lastRowFirstColumn="0" w:lastRowLastColumn="0"/>
          <w:trHeight w:val="168"/>
        </w:trPr>
        <w:tc>
          <w:tcPr>
            <w:cnfStyle w:val="000010000000" w:firstRow="0" w:lastRow="0" w:firstColumn="0" w:lastColumn="0" w:oddVBand="1" w:evenVBand="0" w:oddHBand="0" w:evenHBand="0" w:firstRowFirstColumn="0" w:firstRowLastColumn="0" w:lastRowFirstColumn="0" w:lastRowLastColumn="0"/>
            <w:tcW w:w="7054" w:type="dxa"/>
            <w:shd w:val="clear" w:color="auto" w:fill="D2F2F7" w:themeFill="accent1" w:themeFillTint="33"/>
          </w:tcPr>
          <w:p w14:paraId="305DDA04" w14:textId="77777777" w:rsidR="00333BD6" w:rsidRPr="00A4244C" w:rsidRDefault="00333BD6" w:rsidP="00563C45">
            <w:pPr>
              <w:pStyle w:val="Default"/>
              <w:jc w:val="both"/>
              <w:rPr>
                <w:rFonts w:ascii="Times New Roman" w:hAnsi="Times New Roman" w:cs="Times New Roman"/>
                <w:b/>
                <w:sz w:val="22"/>
                <w:szCs w:val="22"/>
              </w:rPr>
            </w:pPr>
            <w:r w:rsidRPr="00A4244C">
              <w:rPr>
                <w:rFonts w:ascii="Times New Roman" w:hAnsi="Times New Roman" w:cs="Times New Roman"/>
                <w:b/>
                <w:sz w:val="22"/>
                <w:szCs w:val="22"/>
              </w:rPr>
              <w:t>Studie</w:t>
            </w:r>
          </w:p>
        </w:tc>
        <w:tc>
          <w:tcPr>
            <w:tcW w:w="1701" w:type="dxa"/>
            <w:shd w:val="clear" w:color="auto" w:fill="D2F2F7" w:themeFill="accent1" w:themeFillTint="33"/>
          </w:tcPr>
          <w:p w14:paraId="1B818DFE" w14:textId="77777777" w:rsidR="00333BD6" w:rsidRPr="00A4244C" w:rsidRDefault="00333BD6" w:rsidP="00563C45">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r w:rsidRPr="00A4244C">
              <w:rPr>
                <w:rFonts w:ascii="Times New Roman" w:hAnsi="Times New Roman" w:cs="Times New Roman"/>
                <w:b/>
                <w:sz w:val="22"/>
                <w:szCs w:val="22"/>
              </w:rPr>
              <w:t>Kontraktor</w:t>
            </w:r>
          </w:p>
        </w:tc>
      </w:tr>
      <w:tr w:rsidR="00333BD6" w:rsidRPr="00333BD6" w14:paraId="0827CA40" w14:textId="77777777" w:rsidTr="00333BD6">
        <w:trPr>
          <w:trHeight w:val="168"/>
        </w:trPr>
        <w:tc>
          <w:tcPr>
            <w:cnfStyle w:val="000010000000" w:firstRow="0" w:lastRow="0" w:firstColumn="0" w:lastColumn="0" w:oddVBand="1" w:evenVBand="0" w:oddHBand="0" w:evenHBand="0" w:firstRowFirstColumn="0" w:firstRowLastColumn="0" w:lastRowFirstColumn="0" w:lastRowLastColumn="0"/>
            <w:tcW w:w="7054" w:type="dxa"/>
          </w:tcPr>
          <w:p w14:paraId="78120FC3" w14:textId="77777777" w:rsidR="00333BD6" w:rsidRPr="00333BD6" w:rsidRDefault="00333BD6" w:rsidP="00333BD6">
            <w:pPr>
              <w:autoSpaceDE w:val="0"/>
              <w:autoSpaceDN w:val="0"/>
              <w:spacing w:line="276" w:lineRule="auto"/>
              <w:rPr>
                <w:rFonts w:ascii="Times New Roman" w:hAnsi="Times New Roman"/>
                <w:lang w:val="en-GB"/>
              </w:rPr>
            </w:pPr>
            <w:r w:rsidRPr="00333BD6">
              <w:rPr>
                <w:rFonts w:ascii="Times New Roman" w:hAnsi="Times New Roman"/>
                <w:lang w:val="en-GB"/>
              </w:rPr>
              <w:t xml:space="preserve">Effect of Plant Location on Costs of Capture </w:t>
            </w:r>
          </w:p>
        </w:tc>
        <w:tc>
          <w:tcPr>
            <w:tcW w:w="1701" w:type="dxa"/>
          </w:tcPr>
          <w:p w14:paraId="67F39F01" w14:textId="77777777" w:rsidR="00333BD6" w:rsidRPr="00333BD6" w:rsidRDefault="00333BD6" w:rsidP="00333BD6">
            <w:pPr>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333BD6">
              <w:rPr>
                <w:rFonts w:ascii="Times New Roman" w:hAnsi="Times New Roman"/>
                <w:lang w:val="en-GB"/>
              </w:rPr>
              <w:t>AMEC (Italy)</w:t>
            </w:r>
          </w:p>
        </w:tc>
      </w:tr>
      <w:tr w:rsidR="00333BD6" w:rsidRPr="00333BD6" w14:paraId="19561EC1" w14:textId="77777777" w:rsidTr="00333BD6">
        <w:trPr>
          <w:cnfStyle w:val="000000100000" w:firstRow="0" w:lastRow="0" w:firstColumn="0" w:lastColumn="0" w:oddVBand="0" w:evenVBand="0" w:oddHBand="1" w:evenHBand="0" w:firstRowFirstColumn="0" w:firstRowLastColumn="0" w:lastRowFirstColumn="0" w:lastRowLastColumn="0"/>
          <w:trHeight w:val="168"/>
        </w:trPr>
        <w:tc>
          <w:tcPr>
            <w:cnfStyle w:val="000010000000" w:firstRow="0" w:lastRow="0" w:firstColumn="0" w:lastColumn="0" w:oddVBand="1" w:evenVBand="0" w:oddHBand="0" w:evenHBand="0" w:firstRowFirstColumn="0" w:firstRowLastColumn="0" w:lastRowFirstColumn="0" w:lastRowLastColumn="0"/>
            <w:tcW w:w="7054" w:type="dxa"/>
          </w:tcPr>
          <w:p w14:paraId="7986A767" w14:textId="77777777" w:rsidR="00333BD6" w:rsidRPr="00333BD6" w:rsidRDefault="00333BD6" w:rsidP="00333BD6">
            <w:pPr>
              <w:autoSpaceDE w:val="0"/>
              <w:autoSpaceDN w:val="0"/>
              <w:spacing w:line="276" w:lineRule="auto"/>
              <w:rPr>
                <w:rFonts w:ascii="Times New Roman" w:hAnsi="Times New Roman"/>
                <w:lang w:val="en-GB"/>
              </w:rPr>
            </w:pPr>
            <w:r w:rsidRPr="00333BD6">
              <w:rPr>
                <w:rFonts w:ascii="Times New Roman" w:hAnsi="Times New Roman"/>
                <w:lang w:val="en-GB"/>
              </w:rPr>
              <w:t xml:space="preserve">Techno-Economic Evaluation of CO2 Capture in LNG Process </w:t>
            </w:r>
          </w:p>
        </w:tc>
        <w:tc>
          <w:tcPr>
            <w:tcW w:w="1701" w:type="dxa"/>
          </w:tcPr>
          <w:p w14:paraId="3DD1166D" w14:textId="77777777" w:rsidR="00333BD6" w:rsidRPr="00333BD6" w:rsidRDefault="00333BD6" w:rsidP="00333BD6">
            <w:pPr>
              <w:autoSpaceDE w:val="0"/>
              <w:autoSpaceDN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r>
              <w:rPr>
                <w:rFonts w:ascii="Times New Roman" w:hAnsi="Times New Roman"/>
                <w:lang w:val="en-GB"/>
              </w:rPr>
              <w:t>Costain</w:t>
            </w:r>
          </w:p>
        </w:tc>
      </w:tr>
    </w:tbl>
    <w:p w14:paraId="17E68CB6" w14:textId="77777777" w:rsidR="00497ED5" w:rsidRPr="00A4244C" w:rsidRDefault="00497ED5" w:rsidP="00497ED5">
      <w:pPr>
        <w:autoSpaceDE w:val="0"/>
        <w:autoSpaceDN w:val="0"/>
        <w:spacing w:before="240" w:line="276" w:lineRule="auto"/>
        <w:rPr>
          <w:rFonts w:ascii="Times New Roman" w:hAnsi="Times New Roman"/>
        </w:rPr>
      </w:pPr>
      <w:r w:rsidRPr="00A4244C">
        <w:rPr>
          <w:rFonts w:ascii="Times New Roman" w:hAnsi="Times New Roman"/>
        </w:rPr>
        <w:t xml:space="preserve">I tillegg er det flere andre studier som det arbeides med eller som venter på å komme i gang. </w:t>
      </w:r>
      <w:r>
        <w:rPr>
          <w:rFonts w:ascii="Times New Roman" w:hAnsi="Times New Roman"/>
        </w:rPr>
        <w:t xml:space="preserve">Det ble vedtatt </w:t>
      </w:r>
      <w:r w:rsidR="008A644A">
        <w:rPr>
          <w:rFonts w:ascii="Times New Roman" w:hAnsi="Times New Roman"/>
        </w:rPr>
        <w:t>tre</w:t>
      </w:r>
      <w:r w:rsidRPr="00A4244C">
        <w:rPr>
          <w:rFonts w:ascii="Times New Roman" w:hAnsi="Times New Roman"/>
        </w:rPr>
        <w:t xml:space="preserve"> nye studier på dette møtet.</w:t>
      </w:r>
    </w:p>
    <w:p w14:paraId="02B0D73F" w14:textId="77777777" w:rsidR="00497ED5" w:rsidRPr="00A4244C" w:rsidRDefault="00497ED5" w:rsidP="00497ED5">
      <w:pPr>
        <w:autoSpaceDE w:val="0"/>
        <w:autoSpaceDN w:val="0"/>
        <w:adjustRightInd w:val="0"/>
        <w:rPr>
          <w:rFonts w:ascii="Times New Roman" w:hAnsi="Times New Roman"/>
          <w:color w:val="000000"/>
        </w:rPr>
      </w:pPr>
    </w:p>
    <w:tbl>
      <w:tblPr>
        <w:tblStyle w:val="Lyslisteuthevingsfarge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613"/>
      </w:tblGrid>
      <w:tr w:rsidR="00497ED5" w:rsidRPr="00A4244C" w14:paraId="4ED292D0" w14:textId="77777777" w:rsidTr="00563C45">
        <w:trPr>
          <w:cnfStyle w:val="000000100000" w:firstRow="0" w:lastRow="0" w:firstColumn="0" w:lastColumn="0" w:oddVBand="0" w:evenVBand="0" w:oddHBand="1" w:evenHBand="0" w:firstRowFirstColumn="0" w:firstRowLastColumn="0" w:lastRowFirstColumn="0" w:lastRowLastColumn="0"/>
          <w:trHeight w:val="200"/>
        </w:trPr>
        <w:tc>
          <w:tcPr>
            <w:cnfStyle w:val="000010000000" w:firstRow="0" w:lastRow="0" w:firstColumn="0" w:lastColumn="0" w:oddVBand="1" w:evenVBand="0" w:oddHBand="0" w:evenHBand="0" w:firstRowFirstColumn="0" w:firstRowLastColumn="0" w:lastRowFirstColumn="0" w:lastRowLastColumn="0"/>
            <w:tcW w:w="8613" w:type="dxa"/>
            <w:tcBorders>
              <w:top w:val="none" w:sz="0" w:space="0" w:color="auto"/>
              <w:left w:val="none" w:sz="0" w:space="0" w:color="auto"/>
              <w:bottom w:val="none" w:sz="0" w:space="0" w:color="auto"/>
              <w:right w:val="none" w:sz="0" w:space="0" w:color="auto"/>
            </w:tcBorders>
            <w:shd w:val="clear" w:color="auto" w:fill="D2F2F7" w:themeFill="accent1" w:themeFillTint="33"/>
          </w:tcPr>
          <w:p w14:paraId="553E370B" w14:textId="77777777" w:rsidR="00497ED5" w:rsidRPr="00A4244C" w:rsidRDefault="00497ED5" w:rsidP="00563C45">
            <w:pPr>
              <w:pStyle w:val="Default"/>
              <w:jc w:val="both"/>
              <w:rPr>
                <w:rFonts w:ascii="Times New Roman" w:hAnsi="Times New Roman" w:cs="Times New Roman"/>
                <w:b/>
                <w:sz w:val="22"/>
                <w:szCs w:val="22"/>
              </w:rPr>
            </w:pPr>
            <w:r w:rsidRPr="00A4244C">
              <w:rPr>
                <w:rFonts w:ascii="Times New Roman" w:hAnsi="Times New Roman" w:cs="Times New Roman"/>
                <w:b/>
                <w:sz w:val="22"/>
                <w:szCs w:val="22"/>
              </w:rPr>
              <w:t>Nye studier vedtatt</w:t>
            </w:r>
          </w:p>
        </w:tc>
      </w:tr>
      <w:tr w:rsidR="00497ED5" w:rsidRPr="00B82E87" w14:paraId="4CE7D235" w14:textId="77777777" w:rsidTr="00563C45">
        <w:trPr>
          <w:trHeight w:val="204"/>
        </w:trPr>
        <w:tc>
          <w:tcPr>
            <w:cnfStyle w:val="000010000000" w:firstRow="0" w:lastRow="0" w:firstColumn="0" w:lastColumn="0" w:oddVBand="1" w:evenVBand="0" w:oddHBand="0" w:evenHBand="0" w:firstRowFirstColumn="0" w:firstRowLastColumn="0" w:lastRowFirstColumn="0" w:lastRowLastColumn="0"/>
            <w:tcW w:w="8613" w:type="dxa"/>
            <w:tcBorders>
              <w:left w:val="none" w:sz="0" w:space="0" w:color="auto"/>
              <w:right w:val="none" w:sz="0" w:space="0" w:color="auto"/>
            </w:tcBorders>
          </w:tcPr>
          <w:p w14:paraId="7F572307" w14:textId="77777777" w:rsidR="00497ED5" w:rsidRPr="007C25DA" w:rsidRDefault="00333BD6" w:rsidP="007C25DA">
            <w:pPr>
              <w:autoSpaceDE w:val="0"/>
              <w:autoSpaceDN w:val="0"/>
              <w:spacing w:line="276" w:lineRule="auto"/>
              <w:rPr>
                <w:rFonts w:ascii="Times New Roman" w:hAnsi="Times New Roman"/>
                <w:lang w:val="en-GB"/>
              </w:rPr>
            </w:pPr>
            <w:r w:rsidRPr="007C25DA">
              <w:rPr>
                <w:rFonts w:ascii="Times New Roman" w:hAnsi="Times New Roman"/>
                <w:lang w:val="en-GB"/>
              </w:rPr>
              <w:t xml:space="preserve">CCS and Sustainable Development Goals </w:t>
            </w:r>
          </w:p>
        </w:tc>
      </w:tr>
      <w:tr w:rsidR="00497ED5" w:rsidRPr="00B82E87" w14:paraId="3CE815BD" w14:textId="77777777" w:rsidTr="00563C45">
        <w:trPr>
          <w:cnfStyle w:val="000000100000" w:firstRow="0" w:lastRow="0" w:firstColumn="0" w:lastColumn="0" w:oddVBand="0" w:evenVBand="0" w:oddHBand="1" w:evenHBand="0" w:firstRowFirstColumn="0" w:firstRowLastColumn="0" w:lastRowFirstColumn="0" w:lastRowLastColumn="0"/>
          <w:trHeight w:val="222"/>
        </w:trPr>
        <w:tc>
          <w:tcPr>
            <w:cnfStyle w:val="000010000000" w:firstRow="0" w:lastRow="0" w:firstColumn="0" w:lastColumn="0" w:oddVBand="1" w:evenVBand="0" w:oddHBand="0" w:evenHBand="0" w:firstRowFirstColumn="0" w:firstRowLastColumn="0" w:lastRowFirstColumn="0" w:lastRowLastColumn="0"/>
            <w:tcW w:w="8613" w:type="dxa"/>
            <w:tcBorders>
              <w:top w:val="none" w:sz="0" w:space="0" w:color="auto"/>
              <w:left w:val="none" w:sz="0" w:space="0" w:color="auto"/>
              <w:bottom w:val="none" w:sz="0" w:space="0" w:color="auto"/>
              <w:right w:val="none" w:sz="0" w:space="0" w:color="auto"/>
            </w:tcBorders>
          </w:tcPr>
          <w:p w14:paraId="74780F19" w14:textId="77777777" w:rsidR="00497ED5" w:rsidRPr="00333BD6" w:rsidRDefault="00333BD6" w:rsidP="007C25DA">
            <w:pPr>
              <w:autoSpaceDE w:val="0"/>
              <w:autoSpaceDN w:val="0"/>
              <w:spacing w:line="276" w:lineRule="auto"/>
              <w:rPr>
                <w:rFonts w:ascii="Myriad Pro" w:hAnsi="Myriad Pro"/>
                <w:lang w:val="en-GB"/>
              </w:rPr>
            </w:pPr>
            <w:r w:rsidRPr="007C25DA">
              <w:rPr>
                <w:rFonts w:ascii="Times New Roman" w:hAnsi="Times New Roman"/>
                <w:lang w:val="en-GB"/>
              </w:rPr>
              <w:t xml:space="preserve">Status and challenges of </w:t>
            </w:r>
            <w:r w:rsidR="00852D46" w:rsidRPr="007E15C6">
              <w:rPr>
                <w:rFonts w:ascii="Times New Roman" w:hAnsi="Times New Roman"/>
                <w:bCs/>
                <w:lang w:val="en-GB"/>
              </w:rPr>
              <w:t>CO</w:t>
            </w:r>
            <w:r w:rsidR="00852D46" w:rsidRPr="007E15C6">
              <w:rPr>
                <w:rFonts w:ascii="Times New Roman" w:hAnsi="Times New Roman"/>
                <w:bCs/>
                <w:vertAlign w:val="subscript"/>
                <w:lang w:val="en-GB"/>
              </w:rPr>
              <w:t>2</w:t>
            </w:r>
            <w:r w:rsidR="00852D46" w:rsidRPr="007E15C6">
              <w:rPr>
                <w:rFonts w:ascii="Times New Roman" w:hAnsi="Times New Roman"/>
                <w:bCs/>
                <w:lang w:val="en-GB"/>
              </w:rPr>
              <w:t xml:space="preserve"> </w:t>
            </w:r>
            <w:r w:rsidRPr="007C25DA">
              <w:rPr>
                <w:rFonts w:ascii="Times New Roman" w:hAnsi="Times New Roman"/>
                <w:lang w:val="en-GB"/>
              </w:rPr>
              <w:t>shipping infrastructures</w:t>
            </w:r>
            <w:r w:rsidRPr="00333BD6">
              <w:rPr>
                <w:lang w:val="en-GB"/>
              </w:rPr>
              <w:t xml:space="preserve"> </w:t>
            </w:r>
          </w:p>
        </w:tc>
      </w:tr>
      <w:tr w:rsidR="00497ED5" w:rsidRPr="00B82E87" w14:paraId="67F51496" w14:textId="77777777" w:rsidTr="00563C45">
        <w:trPr>
          <w:trHeight w:val="226"/>
        </w:trPr>
        <w:tc>
          <w:tcPr>
            <w:cnfStyle w:val="000010000000" w:firstRow="0" w:lastRow="0" w:firstColumn="0" w:lastColumn="0" w:oddVBand="1" w:evenVBand="0" w:oddHBand="0" w:evenHBand="0" w:firstRowFirstColumn="0" w:firstRowLastColumn="0" w:lastRowFirstColumn="0" w:lastRowLastColumn="0"/>
            <w:tcW w:w="8613" w:type="dxa"/>
            <w:tcBorders>
              <w:left w:val="none" w:sz="0" w:space="0" w:color="auto"/>
              <w:right w:val="none" w:sz="0" w:space="0" w:color="auto"/>
            </w:tcBorders>
          </w:tcPr>
          <w:p w14:paraId="2E96BD9E" w14:textId="77777777" w:rsidR="00497ED5" w:rsidRPr="007C25DA" w:rsidRDefault="00333BD6" w:rsidP="007C25DA">
            <w:pPr>
              <w:autoSpaceDE w:val="0"/>
              <w:autoSpaceDN w:val="0"/>
              <w:spacing w:line="276" w:lineRule="auto"/>
              <w:rPr>
                <w:rFonts w:ascii="Times New Roman" w:hAnsi="Times New Roman"/>
                <w:lang w:val="en-GB"/>
              </w:rPr>
            </w:pPr>
            <w:r w:rsidRPr="007C25DA">
              <w:rPr>
                <w:rFonts w:ascii="Times New Roman" w:hAnsi="Times New Roman"/>
                <w:lang w:val="en-GB"/>
              </w:rPr>
              <w:t xml:space="preserve">Waste to Energy and CCS </w:t>
            </w:r>
          </w:p>
        </w:tc>
      </w:tr>
    </w:tbl>
    <w:p w14:paraId="4023B58E" w14:textId="77777777" w:rsidR="00497ED5" w:rsidRDefault="00497ED5" w:rsidP="00497ED5">
      <w:pPr>
        <w:autoSpaceDE w:val="0"/>
        <w:autoSpaceDN w:val="0"/>
        <w:rPr>
          <w:rFonts w:ascii="Times New Roman" w:hAnsi="Times New Roman"/>
          <w:bCs/>
          <w:lang w:val="en-US"/>
        </w:rPr>
      </w:pPr>
    </w:p>
    <w:p w14:paraId="34F8D41D" w14:textId="77777777" w:rsidR="002356FE" w:rsidRPr="00B82E87" w:rsidRDefault="002356FE" w:rsidP="00497ED5">
      <w:pPr>
        <w:autoSpaceDE w:val="0"/>
        <w:autoSpaceDN w:val="0"/>
        <w:rPr>
          <w:rFonts w:ascii="Times New Roman" w:hAnsi="Times New Roman"/>
          <w:bCs/>
          <w:lang w:val="en-GB"/>
        </w:rPr>
      </w:pPr>
    </w:p>
    <w:p w14:paraId="48EE39F8" w14:textId="77777777" w:rsidR="005E0A83" w:rsidRDefault="00F77E88" w:rsidP="00497ED5">
      <w:pPr>
        <w:autoSpaceDE w:val="0"/>
        <w:autoSpaceDN w:val="0"/>
        <w:rPr>
          <w:rFonts w:ascii="Times New Roman" w:hAnsi="Times New Roman"/>
          <w:bCs/>
        </w:rPr>
      </w:pPr>
      <w:r>
        <w:rPr>
          <w:noProof/>
        </w:rPr>
        <w:drawing>
          <wp:inline distT="0" distB="0" distL="0" distR="0" wp14:anchorId="2E54AF3D" wp14:editId="01D386F7">
            <wp:extent cx="5759450" cy="4321275"/>
            <wp:effectExtent l="0" t="4763" r="7938" b="7937"/>
            <wp:docPr id="1" name="Bilde 1" descr="C:\Users\asl\AppData\Local\Microsoft\Windows\INetCache\Content.Word\IMG_8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l\AppData\Local\Microsoft\Windows\INetCache\Content.Word\IMG_880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5400000">
                      <a:off x="0" y="0"/>
                      <a:ext cx="5759450" cy="4321275"/>
                    </a:xfrm>
                    <a:prstGeom prst="rect">
                      <a:avLst/>
                    </a:prstGeom>
                    <a:noFill/>
                    <a:ln>
                      <a:noFill/>
                    </a:ln>
                  </pic:spPr>
                </pic:pic>
              </a:graphicData>
            </a:graphic>
          </wp:inline>
        </w:drawing>
      </w:r>
    </w:p>
    <w:p w14:paraId="7632CC56" w14:textId="77777777" w:rsidR="001D1241" w:rsidRDefault="00F77E88" w:rsidP="00497ED5">
      <w:proofErr w:type="spellStart"/>
      <w:r>
        <w:t>ExCo</w:t>
      </w:r>
      <w:proofErr w:type="spellEnd"/>
      <w:r>
        <w:t xml:space="preserve"> representantene ble godt informert om det mulige norske fullskala prosjektet med besøk til både Norcem og Yara, her ved besøket til Norcem.</w:t>
      </w:r>
    </w:p>
    <w:p w14:paraId="15D5F901" w14:textId="77777777" w:rsidR="005E0A83" w:rsidRDefault="005E0A83" w:rsidP="00497ED5">
      <w:r>
        <w:rPr>
          <w:noProof/>
        </w:rPr>
        <w:lastRenderedPageBreak/>
        <w:drawing>
          <wp:inline distT="0" distB="0" distL="0" distR="0" wp14:anchorId="2AED5001" wp14:editId="6D22F886">
            <wp:extent cx="4506740" cy="3381375"/>
            <wp:effectExtent l="0" t="0" r="8255" b="0"/>
            <wp:docPr id="2" name="Bilde 2" descr="C:\Users\asl\AppData\Local\Microsoft\Windows\INetCache\Content.Word\IMG_79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l\AppData\Local\Microsoft\Windows\INetCache\Content.Word\IMG_793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09123" cy="3383163"/>
                    </a:xfrm>
                    <a:prstGeom prst="rect">
                      <a:avLst/>
                    </a:prstGeom>
                    <a:noFill/>
                    <a:ln>
                      <a:noFill/>
                    </a:ln>
                  </pic:spPr>
                </pic:pic>
              </a:graphicData>
            </a:graphic>
          </wp:inline>
        </w:drawing>
      </w:r>
    </w:p>
    <w:p w14:paraId="4CBE5548" w14:textId="77777777" w:rsidR="005E0A83" w:rsidRPr="00497ED5" w:rsidRDefault="00687DA9" w:rsidP="00497ED5">
      <w:r>
        <w:t xml:space="preserve">Administrerende direktør i Gassnova, Trude Sundseth, her </w:t>
      </w:r>
      <w:proofErr w:type="spellStart"/>
      <w:r>
        <w:t>nr</w:t>
      </w:r>
      <w:proofErr w:type="spellEnd"/>
      <w:r>
        <w:t xml:space="preserve"> tre fra venstre sammen med en del av </w:t>
      </w:r>
      <w:proofErr w:type="spellStart"/>
      <w:r>
        <w:t>ExCo</w:t>
      </w:r>
      <w:proofErr w:type="spellEnd"/>
      <w:r>
        <w:t xml:space="preserve"> </w:t>
      </w:r>
      <w:proofErr w:type="spellStart"/>
      <w:r>
        <w:t>representatene</w:t>
      </w:r>
      <w:proofErr w:type="spellEnd"/>
      <w:r>
        <w:t xml:space="preserve">, deltok på </w:t>
      </w:r>
      <w:r w:rsidR="005E0A83">
        <w:t xml:space="preserve">det sosiale programmet i regi av Gassnova, skalldyrmiddag i skjærgården. </w:t>
      </w:r>
    </w:p>
    <w:p w14:paraId="3CDA94A8" w14:textId="77777777" w:rsidR="00687DA9" w:rsidRDefault="00687DA9">
      <w:r>
        <w:rPr>
          <w:noProof/>
        </w:rPr>
        <w:drawing>
          <wp:inline distT="0" distB="0" distL="0" distR="0" wp14:anchorId="71A52C6E" wp14:editId="68A66C9F">
            <wp:extent cx="4107664" cy="3081951"/>
            <wp:effectExtent l="0" t="1588" r="6033" b="6032"/>
            <wp:docPr id="4" name="Bilde 4" descr="C:\Users\asl\AppData\Local\Microsoft\Windows\INetCache\Content.Word\IMG_7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sl\AppData\Local\Microsoft\Windows\INetCache\Content.Word\IMG_791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5400000">
                      <a:off x="0" y="0"/>
                      <a:ext cx="4121910" cy="3092639"/>
                    </a:xfrm>
                    <a:prstGeom prst="rect">
                      <a:avLst/>
                    </a:prstGeom>
                    <a:noFill/>
                    <a:ln>
                      <a:noFill/>
                    </a:ln>
                  </pic:spPr>
                </pic:pic>
              </a:graphicData>
            </a:graphic>
          </wp:inline>
        </w:drawing>
      </w:r>
    </w:p>
    <w:p w14:paraId="2885C148" w14:textId="77777777" w:rsidR="00687DA9" w:rsidRPr="00497ED5" w:rsidRDefault="00687DA9">
      <w:r>
        <w:t>Fra Skjærgårdsturen.</w:t>
      </w:r>
    </w:p>
    <w:sectPr w:rsidR="00687DA9" w:rsidRPr="00497ED5" w:rsidSect="00A27AAF">
      <w:footerReference w:type="default" r:id="rId1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0A3AA" w14:textId="77777777" w:rsidR="007A3CA4" w:rsidRDefault="007A3CA4" w:rsidP="000D14F6">
      <w:r>
        <w:separator/>
      </w:r>
    </w:p>
  </w:endnote>
  <w:endnote w:type="continuationSeparator" w:id="0">
    <w:p w14:paraId="7153B8D8" w14:textId="77777777" w:rsidR="007A3CA4" w:rsidRDefault="007A3CA4" w:rsidP="000D1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1D5EB" w14:textId="77777777" w:rsidR="000D14F6" w:rsidRDefault="000D14F6">
    <w:pPr>
      <w:pStyle w:val="Bunntekst"/>
    </w:pPr>
    <w:r>
      <w:tab/>
    </w:r>
    <w:r>
      <w:fldChar w:fldCharType="begin"/>
    </w:r>
    <w:r>
      <w:instrText>PAGE   \* MERGEFORMAT</w:instrText>
    </w:r>
    <w:r>
      <w:fldChar w:fldCharType="separate"/>
    </w:r>
    <w:r w:rsidR="00B82E87">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208EB" w14:textId="77777777" w:rsidR="007A3CA4" w:rsidRDefault="007A3CA4" w:rsidP="000D14F6">
      <w:r>
        <w:separator/>
      </w:r>
    </w:p>
  </w:footnote>
  <w:footnote w:type="continuationSeparator" w:id="0">
    <w:p w14:paraId="644A8F15" w14:textId="77777777" w:rsidR="007A3CA4" w:rsidRDefault="007A3CA4" w:rsidP="000D1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C495F"/>
    <w:multiLevelType w:val="hybridMultilevel"/>
    <w:tmpl w:val="FF786B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307423"/>
    <w:multiLevelType w:val="hybridMultilevel"/>
    <w:tmpl w:val="5AC6E1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C0F3ACA"/>
    <w:multiLevelType w:val="hybridMultilevel"/>
    <w:tmpl w:val="590C77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60D12BD"/>
    <w:multiLevelType w:val="hybridMultilevel"/>
    <w:tmpl w:val="FDC637AE"/>
    <w:lvl w:ilvl="0" w:tplc="04140011">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241"/>
    <w:rsid w:val="00006DB8"/>
    <w:rsid w:val="000B4E98"/>
    <w:rsid w:val="000D14F6"/>
    <w:rsid w:val="000D66A8"/>
    <w:rsid w:val="00105391"/>
    <w:rsid w:val="00115A02"/>
    <w:rsid w:val="00134A80"/>
    <w:rsid w:val="001649D8"/>
    <w:rsid w:val="00186218"/>
    <w:rsid w:val="001D1241"/>
    <w:rsid w:val="001F3823"/>
    <w:rsid w:val="002356FE"/>
    <w:rsid w:val="002949DC"/>
    <w:rsid w:val="00333BD6"/>
    <w:rsid w:val="0036510F"/>
    <w:rsid w:val="003A20A4"/>
    <w:rsid w:val="00407CDF"/>
    <w:rsid w:val="00460EDE"/>
    <w:rsid w:val="00464374"/>
    <w:rsid w:val="0047664F"/>
    <w:rsid w:val="00497ED5"/>
    <w:rsid w:val="004A624D"/>
    <w:rsid w:val="004F0EDE"/>
    <w:rsid w:val="00546222"/>
    <w:rsid w:val="005B4FB0"/>
    <w:rsid w:val="005C5EAF"/>
    <w:rsid w:val="005D214B"/>
    <w:rsid w:val="005E0A83"/>
    <w:rsid w:val="00606BCB"/>
    <w:rsid w:val="00631FF7"/>
    <w:rsid w:val="00642A90"/>
    <w:rsid w:val="0065398C"/>
    <w:rsid w:val="00681E26"/>
    <w:rsid w:val="00687DA9"/>
    <w:rsid w:val="006D00D7"/>
    <w:rsid w:val="006E366A"/>
    <w:rsid w:val="006E7520"/>
    <w:rsid w:val="007A3CA4"/>
    <w:rsid w:val="007B5F99"/>
    <w:rsid w:val="007B754F"/>
    <w:rsid w:val="007C25DA"/>
    <w:rsid w:val="007E15C6"/>
    <w:rsid w:val="007E6075"/>
    <w:rsid w:val="00836E60"/>
    <w:rsid w:val="00852D46"/>
    <w:rsid w:val="00881F57"/>
    <w:rsid w:val="008A644A"/>
    <w:rsid w:val="00900CAD"/>
    <w:rsid w:val="009074EB"/>
    <w:rsid w:val="009B6F7A"/>
    <w:rsid w:val="00A27AAF"/>
    <w:rsid w:val="00A30D7D"/>
    <w:rsid w:val="00A92F15"/>
    <w:rsid w:val="00A940B3"/>
    <w:rsid w:val="00AD2DE2"/>
    <w:rsid w:val="00B43D54"/>
    <w:rsid w:val="00B82E87"/>
    <w:rsid w:val="00BA4F6B"/>
    <w:rsid w:val="00BA5A27"/>
    <w:rsid w:val="00BC0629"/>
    <w:rsid w:val="00BD3A31"/>
    <w:rsid w:val="00C15E61"/>
    <w:rsid w:val="00C676E4"/>
    <w:rsid w:val="00C90B2A"/>
    <w:rsid w:val="00CE5D4A"/>
    <w:rsid w:val="00CF1CE9"/>
    <w:rsid w:val="00D57D79"/>
    <w:rsid w:val="00D73B9C"/>
    <w:rsid w:val="00DA4493"/>
    <w:rsid w:val="00DB5C9D"/>
    <w:rsid w:val="00E71FF2"/>
    <w:rsid w:val="00EE2A18"/>
    <w:rsid w:val="00F046A8"/>
    <w:rsid w:val="00F10D89"/>
    <w:rsid w:val="00F36490"/>
    <w:rsid w:val="00F77E88"/>
    <w:rsid w:val="00FC6A9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C59B2"/>
  <w15:docId w15:val="{2C740647-BB9A-4442-AF58-0C501E4B9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241"/>
    <w:pPr>
      <w:spacing w:after="0" w:line="240" w:lineRule="auto"/>
    </w:pPr>
    <w:rPr>
      <w:rFonts w:ascii="Calibri" w:hAnsi="Calibri" w:cs="Times New Roman"/>
    </w:rPr>
  </w:style>
  <w:style w:type="paragraph" w:styleId="Overskrift1">
    <w:name w:val="heading 1"/>
    <w:basedOn w:val="Normal"/>
    <w:next w:val="Normal"/>
    <w:link w:val="Overskrift1Tegn"/>
    <w:uiPriority w:val="9"/>
    <w:qFormat/>
    <w:rsid w:val="009B6F7A"/>
    <w:pPr>
      <w:keepNext/>
      <w:keepLines/>
      <w:spacing w:before="48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Listeavsnitt">
    <w:name w:val="List Paragraph"/>
    <w:basedOn w:val="Normal"/>
    <w:uiPriority w:val="34"/>
    <w:qFormat/>
    <w:rsid w:val="001D1241"/>
    <w:pPr>
      <w:ind w:left="720"/>
    </w:pPr>
    <w:rPr>
      <w:lang w:eastAsia="nb-NO"/>
    </w:rPr>
  </w:style>
  <w:style w:type="paragraph" w:styleId="Bobletekst">
    <w:name w:val="Balloon Text"/>
    <w:basedOn w:val="Normal"/>
    <w:link w:val="BobletekstTegn"/>
    <w:uiPriority w:val="99"/>
    <w:semiHidden/>
    <w:unhideWhenUsed/>
    <w:rsid w:val="001D1241"/>
    <w:rPr>
      <w:rFonts w:ascii="Tahoma" w:hAnsi="Tahoma" w:cs="Tahoma"/>
      <w:sz w:val="16"/>
      <w:szCs w:val="16"/>
    </w:rPr>
  </w:style>
  <w:style w:type="character" w:customStyle="1" w:styleId="BobletekstTegn">
    <w:name w:val="Bobletekst Tegn"/>
    <w:basedOn w:val="Standardskriftforavsnitt"/>
    <w:link w:val="Bobletekst"/>
    <w:uiPriority w:val="99"/>
    <w:semiHidden/>
    <w:rsid w:val="001D1241"/>
    <w:rPr>
      <w:rFonts w:ascii="Tahoma" w:hAnsi="Tahoma" w:cs="Tahoma"/>
      <w:sz w:val="16"/>
      <w:szCs w:val="16"/>
    </w:rPr>
  </w:style>
  <w:style w:type="character" w:styleId="Hyperkobling">
    <w:name w:val="Hyperlink"/>
    <w:basedOn w:val="Standardskriftforavsnitt"/>
    <w:uiPriority w:val="99"/>
    <w:unhideWhenUsed/>
    <w:rsid w:val="00497ED5"/>
    <w:rPr>
      <w:color w:val="0000FF"/>
      <w:u w:val="single"/>
    </w:rPr>
  </w:style>
  <w:style w:type="paragraph" w:customStyle="1" w:styleId="Default">
    <w:name w:val="Default"/>
    <w:rsid w:val="00497ED5"/>
    <w:pPr>
      <w:autoSpaceDE w:val="0"/>
      <w:autoSpaceDN w:val="0"/>
      <w:adjustRightInd w:val="0"/>
      <w:spacing w:after="0" w:line="240" w:lineRule="auto"/>
    </w:pPr>
    <w:rPr>
      <w:rFonts w:ascii="Myriad Pro" w:hAnsi="Myriad Pro" w:cs="Myriad Pro"/>
      <w:color w:val="000000"/>
      <w:sz w:val="24"/>
      <w:szCs w:val="24"/>
    </w:rPr>
  </w:style>
  <w:style w:type="table" w:styleId="Lyslisteuthevingsfarge1">
    <w:name w:val="Light List Accent 1"/>
    <w:basedOn w:val="Vanligtabell"/>
    <w:uiPriority w:val="61"/>
    <w:rsid w:val="00497ED5"/>
    <w:pPr>
      <w:spacing w:after="0" w:line="240" w:lineRule="auto"/>
    </w:pPr>
    <w:tblPr>
      <w:tblStyleRowBandSize w:val="1"/>
      <w:tblStyleColBandSize w:val="1"/>
      <w:tblBorders>
        <w:top w:val="single" w:sz="8" w:space="0" w:color="26BCD2" w:themeColor="accent1"/>
        <w:left w:val="single" w:sz="8" w:space="0" w:color="26BCD2" w:themeColor="accent1"/>
        <w:bottom w:val="single" w:sz="8" w:space="0" w:color="26BCD2" w:themeColor="accent1"/>
        <w:right w:val="single" w:sz="8" w:space="0" w:color="26BCD2" w:themeColor="accent1"/>
      </w:tblBorders>
    </w:tblPr>
    <w:tblStylePr w:type="firstRow">
      <w:pPr>
        <w:spacing w:before="0" w:after="0" w:line="240" w:lineRule="auto"/>
      </w:pPr>
      <w:rPr>
        <w:b/>
        <w:bCs/>
        <w:color w:val="FFFFFF" w:themeColor="background1"/>
      </w:rPr>
      <w:tblPr/>
      <w:tcPr>
        <w:shd w:val="clear" w:color="auto" w:fill="26BCD2" w:themeFill="accent1"/>
      </w:tcPr>
    </w:tblStylePr>
    <w:tblStylePr w:type="lastRow">
      <w:pPr>
        <w:spacing w:before="0" w:after="0" w:line="240" w:lineRule="auto"/>
      </w:pPr>
      <w:rPr>
        <w:b/>
        <w:bCs/>
      </w:rPr>
      <w:tblPr/>
      <w:tcPr>
        <w:tcBorders>
          <w:top w:val="double" w:sz="6" w:space="0" w:color="26BCD2" w:themeColor="accent1"/>
          <w:left w:val="single" w:sz="8" w:space="0" w:color="26BCD2" w:themeColor="accent1"/>
          <w:bottom w:val="single" w:sz="8" w:space="0" w:color="26BCD2" w:themeColor="accent1"/>
          <w:right w:val="single" w:sz="8" w:space="0" w:color="26BCD2" w:themeColor="accent1"/>
        </w:tcBorders>
      </w:tcPr>
    </w:tblStylePr>
    <w:tblStylePr w:type="firstCol">
      <w:rPr>
        <w:b/>
        <w:bCs/>
      </w:rPr>
    </w:tblStylePr>
    <w:tblStylePr w:type="lastCol">
      <w:rPr>
        <w:b/>
        <w:bCs/>
      </w:rPr>
    </w:tblStylePr>
    <w:tblStylePr w:type="band1Vert">
      <w:tblPr/>
      <w:tcPr>
        <w:tcBorders>
          <w:top w:val="single" w:sz="8" w:space="0" w:color="26BCD2" w:themeColor="accent1"/>
          <w:left w:val="single" w:sz="8" w:space="0" w:color="26BCD2" w:themeColor="accent1"/>
          <w:bottom w:val="single" w:sz="8" w:space="0" w:color="26BCD2" w:themeColor="accent1"/>
          <w:right w:val="single" w:sz="8" w:space="0" w:color="26BCD2" w:themeColor="accent1"/>
        </w:tcBorders>
      </w:tcPr>
    </w:tblStylePr>
    <w:tblStylePr w:type="band1Horz">
      <w:tblPr/>
      <w:tcPr>
        <w:tcBorders>
          <w:top w:val="single" w:sz="8" w:space="0" w:color="26BCD2" w:themeColor="accent1"/>
          <w:left w:val="single" w:sz="8" w:space="0" w:color="26BCD2" w:themeColor="accent1"/>
          <w:bottom w:val="single" w:sz="8" w:space="0" w:color="26BCD2" w:themeColor="accent1"/>
          <w:right w:val="single" w:sz="8" w:space="0" w:color="26BCD2" w:themeColor="accent1"/>
        </w:tcBorders>
      </w:tcPr>
    </w:tblStylePr>
  </w:style>
  <w:style w:type="character" w:styleId="Ulstomtale">
    <w:name w:val="Unresolved Mention"/>
    <w:basedOn w:val="Standardskriftforavsnitt"/>
    <w:uiPriority w:val="99"/>
    <w:semiHidden/>
    <w:unhideWhenUsed/>
    <w:rsid w:val="001649D8"/>
    <w:rPr>
      <w:color w:val="808080"/>
      <w:shd w:val="clear" w:color="auto" w:fill="E6E6E6"/>
    </w:rPr>
  </w:style>
  <w:style w:type="character" w:styleId="Fulgthyperkobling">
    <w:name w:val="FollowedHyperlink"/>
    <w:basedOn w:val="Standardskriftforavsnitt"/>
    <w:uiPriority w:val="99"/>
    <w:semiHidden/>
    <w:unhideWhenUsed/>
    <w:rsid w:val="00DA4493"/>
    <w:rPr>
      <w:color w:val="800080" w:themeColor="followedHyperlink"/>
      <w:u w:val="single"/>
    </w:rPr>
  </w:style>
  <w:style w:type="paragraph" w:styleId="NormalWeb">
    <w:name w:val="Normal (Web)"/>
    <w:basedOn w:val="Normal"/>
    <w:uiPriority w:val="99"/>
    <w:semiHidden/>
    <w:unhideWhenUsed/>
    <w:rsid w:val="00B82E87"/>
    <w:pPr>
      <w:spacing w:before="100" w:beforeAutospacing="1" w:after="100" w:afterAutospacing="1"/>
    </w:pPr>
    <w:rPr>
      <w:rFonts w:ascii="Times New Roman" w:eastAsia="Times New Roman" w:hAnsi="Times New Roman"/>
      <w:sz w:val="24"/>
      <w:szCs w:val="24"/>
      <w:lang w:eastAsia="nb-NO"/>
    </w:rPr>
  </w:style>
  <w:style w:type="paragraph" w:customStyle="1" w:styleId="intro">
    <w:name w:val="intro"/>
    <w:basedOn w:val="Normal"/>
    <w:rsid w:val="00B82E87"/>
    <w:pPr>
      <w:spacing w:before="100" w:beforeAutospacing="1" w:after="100" w:afterAutospacing="1"/>
    </w:pPr>
    <w:rPr>
      <w:rFonts w:ascii="Times New Roman" w:eastAsia="Times New Roman" w:hAnsi="Times New Roman"/>
      <w:sz w:val="24"/>
      <w:szCs w:val="24"/>
      <w:lang w:eastAsia="nb-NO"/>
    </w:rPr>
  </w:style>
  <w:style w:type="character" w:styleId="Sterk">
    <w:name w:val="Strong"/>
    <w:basedOn w:val="Standardskriftforavsnitt"/>
    <w:uiPriority w:val="22"/>
    <w:qFormat/>
    <w:rsid w:val="00B82E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033049">
      <w:bodyDiv w:val="1"/>
      <w:marLeft w:val="0"/>
      <w:marRight w:val="0"/>
      <w:marTop w:val="0"/>
      <w:marBottom w:val="0"/>
      <w:divBdr>
        <w:top w:val="none" w:sz="0" w:space="0" w:color="auto"/>
        <w:left w:val="none" w:sz="0" w:space="0" w:color="auto"/>
        <w:bottom w:val="none" w:sz="0" w:space="0" w:color="auto"/>
        <w:right w:val="none" w:sz="0" w:space="0" w:color="auto"/>
      </w:divBdr>
    </w:div>
    <w:div w:id="148988636">
      <w:bodyDiv w:val="1"/>
      <w:marLeft w:val="0"/>
      <w:marRight w:val="0"/>
      <w:marTop w:val="0"/>
      <w:marBottom w:val="0"/>
      <w:divBdr>
        <w:top w:val="none" w:sz="0" w:space="0" w:color="auto"/>
        <w:left w:val="none" w:sz="0" w:space="0" w:color="auto"/>
        <w:bottom w:val="none" w:sz="0" w:space="0" w:color="auto"/>
        <w:right w:val="none" w:sz="0" w:space="0" w:color="auto"/>
      </w:divBdr>
    </w:div>
    <w:div w:id="213087057">
      <w:bodyDiv w:val="1"/>
      <w:marLeft w:val="0"/>
      <w:marRight w:val="0"/>
      <w:marTop w:val="0"/>
      <w:marBottom w:val="0"/>
      <w:divBdr>
        <w:top w:val="none" w:sz="0" w:space="0" w:color="auto"/>
        <w:left w:val="none" w:sz="0" w:space="0" w:color="auto"/>
        <w:bottom w:val="none" w:sz="0" w:space="0" w:color="auto"/>
        <w:right w:val="none" w:sz="0" w:space="0" w:color="auto"/>
      </w:divBdr>
    </w:div>
    <w:div w:id="399249396">
      <w:bodyDiv w:val="1"/>
      <w:marLeft w:val="0"/>
      <w:marRight w:val="0"/>
      <w:marTop w:val="0"/>
      <w:marBottom w:val="0"/>
      <w:divBdr>
        <w:top w:val="none" w:sz="0" w:space="0" w:color="auto"/>
        <w:left w:val="none" w:sz="0" w:space="0" w:color="auto"/>
        <w:bottom w:val="none" w:sz="0" w:space="0" w:color="auto"/>
        <w:right w:val="none" w:sz="0" w:space="0" w:color="auto"/>
      </w:divBdr>
    </w:div>
    <w:div w:id="428934737">
      <w:bodyDiv w:val="1"/>
      <w:marLeft w:val="0"/>
      <w:marRight w:val="0"/>
      <w:marTop w:val="0"/>
      <w:marBottom w:val="0"/>
      <w:divBdr>
        <w:top w:val="none" w:sz="0" w:space="0" w:color="auto"/>
        <w:left w:val="none" w:sz="0" w:space="0" w:color="auto"/>
        <w:bottom w:val="none" w:sz="0" w:space="0" w:color="auto"/>
        <w:right w:val="none" w:sz="0" w:space="0" w:color="auto"/>
      </w:divBdr>
    </w:div>
    <w:div w:id="494303140">
      <w:bodyDiv w:val="1"/>
      <w:marLeft w:val="0"/>
      <w:marRight w:val="0"/>
      <w:marTop w:val="0"/>
      <w:marBottom w:val="0"/>
      <w:divBdr>
        <w:top w:val="none" w:sz="0" w:space="0" w:color="auto"/>
        <w:left w:val="none" w:sz="0" w:space="0" w:color="auto"/>
        <w:bottom w:val="none" w:sz="0" w:space="0" w:color="auto"/>
        <w:right w:val="none" w:sz="0" w:space="0" w:color="auto"/>
      </w:divBdr>
    </w:div>
    <w:div w:id="496309460">
      <w:bodyDiv w:val="1"/>
      <w:marLeft w:val="0"/>
      <w:marRight w:val="0"/>
      <w:marTop w:val="0"/>
      <w:marBottom w:val="0"/>
      <w:divBdr>
        <w:top w:val="none" w:sz="0" w:space="0" w:color="auto"/>
        <w:left w:val="none" w:sz="0" w:space="0" w:color="auto"/>
        <w:bottom w:val="none" w:sz="0" w:space="0" w:color="auto"/>
        <w:right w:val="none" w:sz="0" w:space="0" w:color="auto"/>
      </w:divBdr>
    </w:div>
    <w:div w:id="546140141">
      <w:bodyDiv w:val="1"/>
      <w:marLeft w:val="0"/>
      <w:marRight w:val="0"/>
      <w:marTop w:val="0"/>
      <w:marBottom w:val="0"/>
      <w:divBdr>
        <w:top w:val="none" w:sz="0" w:space="0" w:color="auto"/>
        <w:left w:val="none" w:sz="0" w:space="0" w:color="auto"/>
        <w:bottom w:val="none" w:sz="0" w:space="0" w:color="auto"/>
        <w:right w:val="none" w:sz="0" w:space="0" w:color="auto"/>
      </w:divBdr>
      <w:divsChild>
        <w:div w:id="1151944253">
          <w:marLeft w:val="0"/>
          <w:marRight w:val="0"/>
          <w:marTop w:val="0"/>
          <w:marBottom w:val="0"/>
          <w:divBdr>
            <w:top w:val="none" w:sz="0" w:space="0" w:color="auto"/>
            <w:left w:val="none" w:sz="0" w:space="0" w:color="auto"/>
            <w:bottom w:val="none" w:sz="0" w:space="0" w:color="auto"/>
            <w:right w:val="none" w:sz="0" w:space="0" w:color="auto"/>
          </w:divBdr>
          <w:divsChild>
            <w:div w:id="1863588644">
              <w:marLeft w:val="700"/>
              <w:marRight w:val="0"/>
              <w:marTop w:val="0"/>
              <w:marBottom w:val="0"/>
              <w:divBdr>
                <w:top w:val="none" w:sz="0" w:space="0" w:color="auto"/>
                <w:left w:val="none" w:sz="0" w:space="0" w:color="auto"/>
                <w:bottom w:val="none" w:sz="0" w:space="0" w:color="auto"/>
                <w:right w:val="none" w:sz="0" w:space="0" w:color="auto"/>
              </w:divBdr>
              <w:divsChild>
                <w:div w:id="130616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397875">
      <w:bodyDiv w:val="1"/>
      <w:marLeft w:val="0"/>
      <w:marRight w:val="0"/>
      <w:marTop w:val="0"/>
      <w:marBottom w:val="0"/>
      <w:divBdr>
        <w:top w:val="none" w:sz="0" w:space="0" w:color="auto"/>
        <w:left w:val="none" w:sz="0" w:space="0" w:color="auto"/>
        <w:bottom w:val="none" w:sz="0" w:space="0" w:color="auto"/>
        <w:right w:val="none" w:sz="0" w:space="0" w:color="auto"/>
      </w:divBdr>
    </w:div>
    <w:div w:id="784155239">
      <w:bodyDiv w:val="1"/>
      <w:marLeft w:val="0"/>
      <w:marRight w:val="0"/>
      <w:marTop w:val="0"/>
      <w:marBottom w:val="0"/>
      <w:divBdr>
        <w:top w:val="none" w:sz="0" w:space="0" w:color="auto"/>
        <w:left w:val="none" w:sz="0" w:space="0" w:color="auto"/>
        <w:bottom w:val="none" w:sz="0" w:space="0" w:color="auto"/>
        <w:right w:val="none" w:sz="0" w:space="0" w:color="auto"/>
      </w:divBdr>
    </w:div>
    <w:div w:id="860241383">
      <w:bodyDiv w:val="1"/>
      <w:marLeft w:val="0"/>
      <w:marRight w:val="0"/>
      <w:marTop w:val="0"/>
      <w:marBottom w:val="0"/>
      <w:divBdr>
        <w:top w:val="none" w:sz="0" w:space="0" w:color="auto"/>
        <w:left w:val="none" w:sz="0" w:space="0" w:color="auto"/>
        <w:bottom w:val="none" w:sz="0" w:space="0" w:color="auto"/>
        <w:right w:val="none" w:sz="0" w:space="0" w:color="auto"/>
      </w:divBdr>
    </w:div>
    <w:div w:id="995643094">
      <w:bodyDiv w:val="1"/>
      <w:marLeft w:val="0"/>
      <w:marRight w:val="0"/>
      <w:marTop w:val="0"/>
      <w:marBottom w:val="0"/>
      <w:divBdr>
        <w:top w:val="none" w:sz="0" w:space="0" w:color="auto"/>
        <w:left w:val="none" w:sz="0" w:space="0" w:color="auto"/>
        <w:bottom w:val="none" w:sz="0" w:space="0" w:color="auto"/>
        <w:right w:val="none" w:sz="0" w:space="0" w:color="auto"/>
      </w:divBdr>
    </w:div>
    <w:div w:id="1229461651">
      <w:bodyDiv w:val="1"/>
      <w:marLeft w:val="0"/>
      <w:marRight w:val="0"/>
      <w:marTop w:val="0"/>
      <w:marBottom w:val="0"/>
      <w:divBdr>
        <w:top w:val="none" w:sz="0" w:space="0" w:color="auto"/>
        <w:left w:val="none" w:sz="0" w:space="0" w:color="auto"/>
        <w:bottom w:val="none" w:sz="0" w:space="0" w:color="auto"/>
        <w:right w:val="none" w:sz="0" w:space="0" w:color="auto"/>
      </w:divBdr>
    </w:div>
    <w:div w:id="1589343510">
      <w:bodyDiv w:val="1"/>
      <w:marLeft w:val="0"/>
      <w:marRight w:val="0"/>
      <w:marTop w:val="0"/>
      <w:marBottom w:val="0"/>
      <w:divBdr>
        <w:top w:val="none" w:sz="0" w:space="0" w:color="auto"/>
        <w:left w:val="none" w:sz="0" w:space="0" w:color="auto"/>
        <w:bottom w:val="none" w:sz="0" w:space="0" w:color="auto"/>
        <w:right w:val="none" w:sz="0" w:space="0" w:color="auto"/>
      </w:divBdr>
    </w:div>
    <w:div w:id="1671833551">
      <w:bodyDiv w:val="1"/>
      <w:marLeft w:val="0"/>
      <w:marRight w:val="0"/>
      <w:marTop w:val="0"/>
      <w:marBottom w:val="0"/>
      <w:divBdr>
        <w:top w:val="none" w:sz="0" w:space="0" w:color="auto"/>
        <w:left w:val="none" w:sz="0" w:space="0" w:color="auto"/>
        <w:bottom w:val="none" w:sz="0" w:space="0" w:color="auto"/>
        <w:right w:val="none" w:sz="0" w:space="0" w:color="auto"/>
      </w:divBdr>
    </w:div>
    <w:div w:id="1850362639">
      <w:bodyDiv w:val="1"/>
      <w:marLeft w:val="0"/>
      <w:marRight w:val="0"/>
      <w:marTop w:val="0"/>
      <w:marBottom w:val="0"/>
      <w:divBdr>
        <w:top w:val="none" w:sz="0" w:space="0" w:color="auto"/>
        <w:left w:val="none" w:sz="0" w:space="0" w:color="auto"/>
        <w:bottom w:val="none" w:sz="0" w:space="0" w:color="auto"/>
        <w:right w:val="none" w:sz="0" w:space="0" w:color="auto"/>
      </w:divBdr>
    </w:div>
    <w:div w:id="210711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iongain.com/Report/2152/Carbon-Capture-Storage-(CCS)-Market-Report-2018-2028" TargetMode="External"/><Relationship Id="rId13" Type="http://schemas.openxmlformats.org/officeDocument/2006/relationships/hyperlink" Target="http://www.climit.no/no/infosenter/ekstern-faglitteratu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eaghg.org/"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zanne.Killick@ieaghg.org"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s://www.iea.org/topics/carbon-capture-and-storag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ea.org/media/topics/ccs/5KeysUnlockCCS.PDF" TargetMode="External"/><Relationship Id="rId14" Type="http://schemas.openxmlformats.org/officeDocument/2006/relationships/hyperlink" Target="http://www.ieaghg.org/publications/information-papers" TargetMode="Externa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D89D6-EB4B-4DA1-8636-AD3A2E3B3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1112</Words>
  <Characters>6343</Characters>
  <Application>Microsoft Office Word</Application>
  <DocSecurity>0</DocSecurity>
  <Lines>52</Lines>
  <Paragraphs>14</Paragraphs>
  <ScaleCrop>false</ScaleCrop>
  <HeadingPairs>
    <vt:vector size="2" baseType="variant">
      <vt:variant>
        <vt:lpstr>Tittel</vt:lpstr>
      </vt:variant>
      <vt:variant>
        <vt:i4>1</vt:i4>
      </vt:variant>
    </vt:vector>
  </HeadingPairs>
  <TitlesOfParts>
    <vt:vector size="1" baseType="lpstr">
      <vt:lpstr/>
    </vt:vector>
  </TitlesOfParts>
  <Company>Norges forskningsråd</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Åse Slagtern</dc:creator>
  <cp:lastModifiedBy>Maria Riber</cp:lastModifiedBy>
  <cp:revision>2</cp:revision>
  <dcterms:created xsi:type="dcterms:W3CDTF">2021-03-18T09:41:00Z</dcterms:created>
  <dcterms:modified xsi:type="dcterms:W3CDTF">2021-03-18T09:41:00Z</dcterms:modified>
</cp:coreProperties>
</file>